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QT015 — Yếu tố ảnh hưởng trầm cảm HS THCS/THPT miền Đông Trung Quốc</w:t>
      </w:r>
    </w:p>
    <w:p>
      <w:pPr>
        <w:jc w:val="both"/>
      </w:pPr>
      <w:r>
        <w:rPr>
          <w:rFonts w:ascii="Times New Roman" w:hAnsi="Times New Roman"/>
          <w:b/>
          <w:i w:val="0"/>
          <w:sz w:val="24"/>
        </w:rPr>
        <w:t>Tên công trình, tác giả, năm, mẫu khảo sát, đối tượng, khách thể, địa bàn khảo sát</w:t>
      </w:r>
    </w:p>
    <w:p>
      <w:pPr>
        <w:jc w:val="both"/>
      </w:pPr>
      <w:r>
        <w:rPr>
          <w:rFonts w:ascii="Times New Roman" w:hAnsi="Times New Roman"/>
          <w:b w:val="0"/>
          <w:i w:val="0"/>
          <w:sz w:val="24"/>
        </w:rPr>
        <w:t>Công trình "Influencing factors and changing trends of depressive symptoms in middle and high school students in East China from 2019 to 2023" của Zhu và cộng sự (2025), đăng trên BMC Public Health vol. 25, article 17. DOI 10.1186/s12889-024-21252-8. Khảo sát cắt ngang trên 9.831 học sinh THCS và THPT tại Suzhou, miền Đông Trung Quốc. Sử dụng PHQ-9 (Patient Health Questionnaire-9 mục) đánh giá trầm cảm.</w:t>
      </w:r>
    </w:p>
    <w:p>
      <w:pPr>
        <w:pStyle w:val="Heading2"/>
      </w:pPr>
      <w:r>
        <w:rPr>
          <w:rFonts w:ascii="Times New Roman" w:hAnsi="Times New Roman"/>
          <w:color w:val="000000"/>
        </w:rPr>
        <w:t>Phương pháp nghiên cứu</w:t>
      </w:r>
    </w:p>
    <w:p>
      <w:pPr>
        <w:jc w:val="both"/>
      </w:pPr>
      <w:r>
        <w:rPr>
          <w:rFonts w:ascii="Times New Roman" w:hAnsi="Times New Roman"/>
          <w:b w:val="0"/>
          <w:i w:val="0"/>
          <w:sz w:val="24"/>
        </w:rPr>
        <w:t>Khảo sát cắt ngang lặp lại 2019, 2021, 2023 (trước, trong và sau COVID) trên 9.831 HS tại Suzhou. Sử dụng PHQ-9 với 2 ngưỡng cắt: ≥5 "có thể có trầm cảm" (possible), ≥10 "chắc chắn có trầm cảm" (definite). Phân tích hồi quy logistic đa biến xác định yếu tố nguy cơ và bảo vệ.</w:t>
      </w:r>
    </w:p>
    <w:p>
      <w:pPr>
        <w:pStyle w:val="Heading2"/>
      </w:pPr>
      <w:r>
        <w:rPr>
          <w:rFonts w:ascii="Times New Roman" w:hAnsi="Times New Roman"/>
          <w:color w:val="000000"/>
        </w:rPr>
        <w:t>Kết quả nghiên cứu</w:t>
      </w:r>
    </w:p>
    <w:p>
      <w:pPr>
        <w:jc w:val="both"/>
      </w:pPr>
      <w:r>
        <w:rPr>
          <w:rFonts w:ascii="Times New Roman" w:hAnsi="Times New Roman"/>
          <w:b w:val="0"/>
          <w:i w:val="0"/>
          <w:sz w:val="24"/>
        </w:rPr>
        <w:t>Tỷ lệ: 14,5 % HS có triệu chứng trầm cảm "có thể" và 5,8 % "chắc chắn". Tổng 20,3 % có triệu chứng trầm cảm — tương đương với nhiều NC khác ở Trung Quốc.</w:t>
      </w:r>
    </w:p>
    <w:tbl>
      <w:tblPr>
        <w:tblStyle w:val="TableGrid"/>
        <w:tblW w:type="auto" w:w="0"/>
        <w:jc w:val="center"/>
        <w:tblLook w:firstColumn="1" w:firstRow="1" w:lastColumn="0" w:lastRow="0" w:noHBand="0" w:noVBand="1" w:val="04A0"/>
        <w:tblLayout w:type="fixed"/>
      </w:tblPr>
      <w:tblGrid>
        <w:gridCol w:w="2835"/>
        <w:gridCol w:w="1134"/>
        <w:gridCol w:w="1417"/>
        <w:gridCol w:w="3402"/>
      </w:tblGrid>
      <w:tr>
        <w:tc>
          <w:tcPr>
            <w:tcW w:w="2835" w:type="dxa"/>
            <w:shd w:fill="D9E2F3" w:val="clear"/>
          </w:tcPr>
          <w:p>
            <w:pPr>
              <w:jc w:val="center"/>
            </w:pPr>
            <w:r>
              <w:rPr>
                <w:rFonts w:ascii="Times New Roman" w:hAnsi="Times New Roman"/>
                <w:b/>
                <w:sz w:val="20"/>
              </w:rPr>
              <w:t>Yếu tố</w:t>
            </w:r>
          </w:p>
        </w:tc>
        <w:tc>
          <w:tcPr>
            <w:tcW w:w="1134" w:type="dxa"/>
            <w:shd w:fill="D9E2F3" w:val="clear"/>
          </w:tcPr>
          <w:p>
            <w:pPr>
              <w:jc w:val="center"/>
            </w:pPr>
            <w:r>
              <w:rPr>
                <w:rFonts w:ascii="Times New Roman" w:hAnsi="Times New Roman"/>
                <w:b/>
                <w:sz w:val="20"/>
              </w:rPr>
              <w:t>AOR</w:t>
            </w:r>
          </w:p>
        </w:tc>
        <w:tc>
          <w:tcPr>
            <w:tcW w:w="1417" w:type="dxa"/>
            <w:shd w:fill="D9E2F3" w:val="clear"/>
          </w:tcPr>
          <w:p>
            <w:pPr>
              <w:jc w:val="center"/>
            </w:pPr>
            <w:r>
              <w:rPr>
                <w:rFonts w:ascii="Times New Roman" w:hAnsi="Times New Roman"/>
                <w:b/>
                <w:sz w:val="20"/>
              </w:rPr>
              <w:t>KTC 95 %</w:t>
            </w:r>
          </w:p>
        </w:tc>
        <w:tc>
          <w:tcPr>
            <w:tcW w:w="3402" w:type="dxa"/>
            <w:shd w:fill="D9E2F3" w:val="clear"/>
          </w:tcPr>
          <w:p>
            <w:pPr>
              <w:jc w:val="center"/>
            </w:pPr>
            <w:r>
              <w:rPr>
                <w:rFonts w:ascii="Times New Roman" w:hAnsi="Times New Roman"/>
                <w:b/>
                <w:sz w:val="20"/>
              </w:rPr>
              <w:t>Diễn giải</w:t>
            </w:r>
          </w:p>
        </w:tc>
      </w:tr>
      <w:tr>
        <w:tc>
          <w:tcPr>
            <w:tcW w:w="2835" w:type="dxa"/>
          </w:tcPr>
          <w:p>
            <w:r>
              <w:rPr>
                <w:rFonts w:ascii="Times New Roman" w:hAnsi="Times New Roman"/>
                <w:sz w:val="20"/>
              </w:rPr>
              <w:t>Ngủ &lt; 5 giờ (chắc chắn)</w:t>
            </w:r>
          </w:p>
        </w:tc>
        <w:tc>
          <w:tcPr>
            <w:tcW w:w="1134" w:type="dxa"/>
          </w:tcPr>
          <w:p>
            <w:r>
              <w:rPr>
                <w:rFonts w:ascii="Times New Roman" w:hAnsi="Times New Roman"/>
                <w:sz w:val="20"/>
              </w:rPr>
              <w:t>13,710</w:t>
            </w:r>
          </w:p>
        </w:tc>
        <w:tc>
          <w:tcPr>
            <w:tcW w:w="1417" w:type="dxa"/>
          </w:tcPr>
          <w:p>
            <w:r>
              <w:rPr>
                <w:rFonts w:ascii="Times New Roman" w:hAnsi="Times New Roman"/>
                <w:sz w:val="20"/>
              </w:rPr>
              <w:t>—</w:t>
            </w:r>
          </w:p>
        </w:tc>
        <w:tc>
          <w:tcPr>
            <w:tcW w:w="3402" w:type="dxa"/>
          </w:tcPr>
          <w:p>
            <w:r>
              <w:rPr>
                <w:rFonts w:ascii="Times New Roman" w:hAnsi="Times New Roman"/>
                <w:sz w:val="20"/>
              </w:rPr>
              <w:t>NGUY CƠ RẤT MẠNH NHẤT</w:t>
            </w:r>
          </w:p>
        </w:tc>
      </w:tr>
      <w:tr>
        <w:tc>
          <w:tcPr>
            <w:tcW w:w="2835" w:type="dxa"/>
          </w:tcPr>
          <w:p>
            <w:r>
              <w:rPr>
                <w:rFonts w:ascii="Times New Roman" w:hAnsi="Times New Roman"/>
                <w:sz w:val="20"/>
              </w:rPr>
              <w:t>Gia đình tái hôn</w:t>
            </w:r>
          </w:p>
        </w:tc>
        <w:tc>
          <w:tcPr>
            <w:tcW w:w="1134" w:type="dxa"/>
          </w:tcPr>
          <w:p>
            <w:r>
              <w:rPr>
                <w:rFonts w:ascii="Times New Roman" w:hAnsi="Times New Roman"/>
                <w:sz w:val="20"/>
              </w:rPr>
              <w:t>1,837</w:t>
            </w:r>
          </w:p>
        </w:tc>
        <w:tc>
          <w:tcPr>
            <w:tcW w:w="1417" w:type="dxa"/>
          </w:tcPr>
          <w:p>
            <w:r>
              <w:rPr>
                <w:rFonts w:ascii="Times New Roman" w:hAnsi="Times New Roman"/>
                <w:sz w:val="20"/>
              </w:rPr>
              <w:t>—</w:t>
            </w:r>
          </w:p>
        </w:tc>
        <w:tc>
          <w:tcPr>
            <w:tcW w:w="3402" w:type="dxa"/>
          </w:tcPr>
          <w:p>
            <w:r>
              <w:rPr>
                <w:rFonts w:ascii="Times New Roman" w:hAnsi="Times New Roman"/>
                <w:sz w:val="20"/>
              </w:rPr>
              <w:t>Nguy cơ cao</w:t>
            </w:r>
          </w:p>
        </w:tc>
      </w:tr>
      <w:tr>
        <w:tc>
          <w:tcPr>
            <w:tcW w:w="2835" w:type="dxa"/>
          </w:tcPr>
          <w:p>
            <w:r>
              <w:rPr>
                <w:rFonts w:ascii="Times New Roman" w:hAnsi="Times New Roman"/>
                <w:sz w:val="20"/>
              </w:rPr>
              <w:t>Gia đình đơn thân</w:t>
            </w:r>
          </w:p>
        </w:tc>
        <w:tc>
          <w:tcPr>
            <w:tcW w:w="1134" w:type="dxa"/>
          </w:tcPr>
          <w:p>
            <w:r>
              <w:rPr>
                <w:rFonts w:ascii="Times New Roman" w:hAnsi="Times New Roman"/>
                <w:sz w:val="20"/>
              </w:rPr>
              <w:t>1,434</w:t>
            </w:r>
          </w:p>
        </w:tc>
        <w:tc>
          <w:tcPr>
            <w:tcW w:w="1417" w:type="dxa"/>
          </w:tcPr>
          <w:p>
            <w:r>
              <w:rPr>
                <w:rFonts w:ascii="Times New Roman" w:hAnsi="Times New Roman"/>
                <w:sz w:val="20"/>
              </w:rPr>
              <w:t>—</w:t>
            </w:r>
          </w:p>
        </w:tc>
        <w:tc>
          <w:tcPr>
            <w:tcW w:w="3402" w:type="dxa"/>
          </w:tcPr>
          <w:p>
            <w:r>
              <w:rPr>
                <w:rFonts w:ascii="Times New Roman" w:hAnsi="Times New Roman"/>
                <w:sz w:val="20"/>
              </w:rPr>
              <w:t>Nguy cơ</w:t>
            </w:r>
          </w:p>
        </w:tc>
      </w:tr>
      <w:tr>
        <w:tc>
          <w:tcPr>
            <w:tcW w:w="2835" w:type="dxa"/>
          </w:tcPr>
          <w:p>
            <w:r>
              <w:rPr>
                <w:rFonts w:ascii="Times New Roman" w:hAnsi="Times New Roman"/>
                <w:sz w:val="20"/>
              </w:rPr>
              <w:t>HS THPT (vs THCS)</w:t>
            </w:r>
          </w:p>
        </w:tc>
        <w:tc>
          <w:tcPr>
            <w:tcW w:w="1134" w:type="dxa"/>
          </w:tcPr>
          <w:p>
            <w:r>
              <w:rPr>
                <w:rFonts w:ascii="Times New Roman" w:hAnsi="Times New Roman"/>
                <w:sz w:val="20"/>
              </w:rPr>
              <w:t>1,409</w:t>
            </w:r>
          </w:p>
        </w:tc>
        <w:tc>
          <w:tcPr>
            <w:tcW w:w="1417" w:type="dxa"/>
          </w:tcPr>
          <w:p>
            <w:r>
              <w:rPr>
                <w:rFonts w:ascii="Times New Roman" w:hAnsi="Times New Roman"/>
                <w:sz w:val="20"/>
              </w:rPr>
              <w:t>—</w:t>
            </w:r>
          </w:p>
        </w:tc>
        <w:tc>
          <w:tcPr>
            <w:tcW w:w="3402" w:type="dxa"/>
          </w:tcPr>
          <w:p>
            <w:r>
              <w:rPr>
                <w:rFonts w:ascii="Times New Roman" w:hAnsi="Times New Roman"/>
                <w:sz w:val="20"/>
              </w:rPr>
              <w:t>Nguy cơ</w:t>
            </w:r>
          </w:p>
        </w:tc>
      </w:tr>
      <w:tr>
        <w:tc>
          <w:tcPr>
            <w:tcW w:w="2835" w:type="dxa"/>
          </w:tcPr>
          <w:p>
            <w:r>
              <w:rPr>
                <w:rFonts w:ascii="Times New Roman" w:hAnsi="Times New Roman"/>
                <w:sz w:val="20"/>
              </w:rPr>
              <w:t>Nam giới (vs nữ)</w:t>
            </w:r>
          </w:p>
        </w:tc>
        <w:tc>
          <w:tcPr>
            <w:tcW w:w="1134" w:type="dxa"/>
          </w:tcPr>
          <w:p>
            <w:r>
              <w:rPr>
                <w:rFonts w:ascii="Times New Roman" w:hAnsi="Times New Roman"/>
                <w:sz w:val="20"/>
              </w:rPr>
              <w:t>0,803</w:t>
            </w:r>
          </w:p>
        </w:tc>
        <w:tc>
          <w:tcPr>
            <w:tcW w:w="1417" w:type="dxa"/>
          </w:tcPr>
          <w:p>
            <w:r>
              <w:rPr>
                <w:rFonts w:ascii="Times New Roman" w:hAnsi="Times New Roman"/>
                <w:sz w:val="20"/>
              </w:rPr>
              <w:t>—</w:t>
            </w:r>
          </w:p>
        </w:tc>
        <w:tc>
          <w:tcPr>
            <w:tcW w:w="3402" w:type="dxa"/>
          </w:tcPr>
          <w:p>
            <w:r>
              <w:rPr>
                <w:rFonts w:ascii="Times New Roman" w:hAnsi="Times New Roman"/>
                <w:sz w:val="20"/>
              </w:rPr>
              <w:t>Bảo vệ</w:t>
            </w:r>
          </w:p>
        </w:tc>
      </w:tr>
      <w:tr>
        <w:tc>
          <w:tcPr>
            <w:tcW w:w="2835" w:type="dxa"/>
          </w:tcPr>
          <w:p>
            <w:r>
              <w:rPr>
                <w:rFonts w:ascii="Times New Roman" w:hAnsi="Times New Roman"/>
                <w:sz w:val="20"/>
              </w:rPr>
              <w:t>Hoạt động ngoài trời &gt; 1h/ngày</w:t>
            </w:r>
          </w:p>
        </w:tc>
        <w:tc>
          <w:tcPr>
            <w:tcW w:w="1134" w:type="dxa"/>
          </w:tcPr>
          <w:p>
            <w:r>
              <w:rPr>
                <w:rFonts w:ascii="Times New Roman" w:hAnsi="Times New Roman"/>
                <w:sz w:val="20"/>
              </w:rPr>
              <w:t>0,666–0,785</w:t>
            </w:r>
          </w:p>
        </w:tc>
        <w:tc>
          <w:tcPr>
            <w:tcW w:w="1417" w:type="dxa"/>
          </w:tcPr>
          <w:p>
            <w:r>
              <w:rPr>
                <w:rFonts w:ascii="Times New Roman" w:hAnsi="Times New Roman"/>
                <w:sz w:val="20"/>
              </w:rPr>
              <w:t>—</w:t>
            </w:r>
          </w:p>
        </w:tc>
        <w:tc>
          <w:tcPr>
            <w:tcW w:w="3402" w:type="dxa"/>
          </w:tcPr>
          <w:p>
            <w:r>
              <w:rPr>
                <w:rFonts w:ascii="Times New Roman" w:hAnsi="Times New Roman"/>
                <w:sz w:val="20"/>
              </w:rPr>
              <w:t>Bảo vệ rõ ràng</w:t>
            </w:r>
          </w:p>
        </w:tc>
      </w:tr>
    </w:tbl>
    <w:p>
      <w:pPr>
        <w:jc w:val="both"/>
      </w:pPr>
      <w:r>
        <w:rPr>
          <w:rFonts w:ascii="Times New Roman" w:hAnsi="Times New Roman"/>
          <w:b/>
          <w:i w:val="0"/>
          <w:sz w:val="24"/>
        </w:rPr>
        <w:t>PHÁT HIỆN THEN CHỐT: Ngủ &lt; 5 giờ có AOR = 13,71 cho "trầm cảm chắc chắn" — yếu tố nguy cơ mạnh nhất được phát hiện. Đây là con số có ý nghĩa thực hành cao cho can thiệp — cải thiện giấc ngủ có thể là chiến lược phòng ngừa hiệu quả nhất.</w:t>
      </w:r>
    </w:p>
    <w:p>
      <w:pPr>
        <w:pStyle w:val="Heading2"/>
      </w:pPr>
      <w:r>
        <w:rPr>
          <w:rFonts w:ascii="Times New Roman" w:hAnsi="Times New Roman"/>
          <w:color w:val="000000"/>
        </w:rPr>
        <w:t>Phản biện</w:t>
      </w:r>
    </w:p>
    <w:p>
      <w:pPr>
        <w:jc w:val="both"/>
      </w:pPr>
      <w:r>
        <w:rPr>
          <w:rFonts w:ascii="Times New Roman" w:hAnsi="Times New Roman"/>
          <w:b w:val="0"/>
          <w:i w:val="0"/>
          <w:sz w:val="24"/>
        </w:rPr>
        <w:t>Điểm mạnh: Cỡ mẫu rất lớn (n = 9.831), so sánh 3 thời điểm 2019–2023 bao gồm cả giai đoạn COVID. BMC Public Health Q1. Phát hiện AOR=13,71 cho giấc ngủ &lt; 5h là CON SỐ ĐÁNG NHỚ — dễ ứng dụng cho can thiệp (cải thiện giấc ngủ + hoạt động ngoài trời).</w:t>
      </w:r>
    </w:p>
    <w:p>
      <w:pPr>
        <w:jc w:val="both"/>
      </w:pPr>
      <w:r>
        <w:rPr>
          <w:rFonts w:ascii="Times New Roman" w:hAnsi="Times New Roman"/>
          <w:b w:val="0"/>
          <w:i w:val="0"/>
          <w:sz w:val="24"/>
        </w:rPr>
        <w:t>Hạn chế: (1) Chỉ tại Suzhou (miền Đông, đô thị phát triển) — không đại diện nông thôn hay miền Tây TQ; (2) PHQ-9 là sàng lọc, không phải chẩn đoán lâm sàng; (3) Chỉ đo trầm cảm, thiếu lo âu (cần GAD-7 song song); (4) 3 thời điểm là 3 nhóm khác nhau, không phải cùng nhóm theo dõi dọc.</w:t>
      </w:r>
    </w:p>
    <w:p>
      <w:pPr>
        <w:pStyle w:val="Heading2"/>
      </w:pPr>
      <w:r>
        <w:rPr>
          <w:rFonts w:ascii="Times New Roman" w:hAnsi="Times New Roman"/>
          <w:color w:val="000000"/>
        </w:rPr>
        <w:t>Hướng nghiên cứu tiếp theo</w:t>
      </w:r>
    </w:p>
    <w:p>
      <w:pPr>
        <w:jc w:val="both"/>
      </w:pPr>
      <w:r>
        <w:rPr>
          <w:rFonts w:ascii="Times New Roman" w:hAnsi="Times New Roman"/>
          <w:b w:val="0"/>
          <w:i w:val="0"/>
          <w:sz w:val="24"/>
        </w:rPr>
        <w:t>Lặp lại tại VN với HS THCS/THPT — đặc biệt kiểm tra vai trò giấc ngủ (VN có Hoàng Trung Học 2025 đã ghi nhận giấc ngủ β = −0,149). Nghiên cứu dọc theo dõi cùng nhóm qua COVID. RCT can thiệp tăng giấc ngủ + hoạt động ngoài trời tại trường.</w:t>
      </w:r>
    </w:p>
    <w:p>
      <w:pPr>
        <w:jc w:val="both"/>
      </w:pPr>
      <w:r>
        <w:rPr>
          <w:rFonts w:ascii="Times New Roman" w:hAnsi="Times New Roman"/>
          <w:b/>
          <w:i w:val="0"/>
          <w:sz w:val="24"/>
        </w:rPr>
        <w:t>Đánh giá chất lượng: ⭐⭐⭐⭐ Cao. BMC Q1, mẫu lớn, phát hiện AOR=13,71 giấc ngủ rất quan trọng cho thực 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