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QT016 — SKTT VTN Nam Á: Tổng quan hệ thống</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Công trình "Nature, prevalence, and determinants of mental health problems among South Asian adolescents: A systematic review" của Mudunna và cộng sự (2025), đăng trên The Lancet Regional Health — Southeast Asia 2025. DOI 10.1016/S2772-3682(25)00003-4. Tổng quan hệ thống về bản chất, tỷ lệ và các yếu tố quyết định của các vấn đề SKTT ở vị thành niên (10–19 tuổi) tại 8 nước Nam Á. Nam Á chiếm 24 % dân số thế giới, chủ yếu là các nước thu nhập thấp và trung bình (LMIC).</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Tìm kiếm hệ thống trên MEDLINE, PsycINFO, Embase, CINAHL, Global Health theo hướng dẫn PRISMA. Tiêu chí: nghiên cứu về VTN 10–19 tuổi tại 8 nước Nam Á (Ấn Độ, Pakistan, Bangladesh, Nepal, Sri Lanka, Bhutan, Maldives, Afghanistan). Đánh giá chất lượng phương pháp. KHÔNG thực hiện meta-analysis do tính không đồng nhất quá cao.</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Tỷ lệ hiện mắc vấn đề SKTT dao động RẤT LỚN từ 1,5 % đến 81,6 % — do khác biệt về phương pháp và quốc gia. Trầm cảm và lo âu là phổ biến nhất.</w:t>
      </w:r>
    </w:p>
    <w:p>
      <w:pPr>
        <w:jc w:val="both"/>
      </w:pPr>
      <w:r>
        <w:rPr>
          <w:rFonts w:ascii="Times New Roman" w:hAnsi="Times New Roman"/>
          <w:b/>
          <w:i w:val="0"/>
          <w:sz w:val="24"/>
        </w:rPr>
        <w:t>Các yếu tố quyết định chính:</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yếu tố</w:t>
            </w:r>
          </w:p>
        </w:tc>
        <w:tc>
          <w:tcPr>
            <w:tcW w:w="6520" w:type="dxa"/>
            <w:shd w:fill="D9E2F3" w:val="clear"/>
          </w:tcPr>
          <w:p>
            <w:pPr>
              <w:jc w:val="center"/>
            </w:pPr>
            <w:r>
              <w:rPr>
                <w:rFonts w:ascii="Times New Roman" w:hAnsi="Times New Roman"/>
                <w:b/>
                <w:sz w:val="20"/>
              </w:rPr>
              <w:t>Các yếu tố cụ thể</w:t>
            </w:r>
          </w:p>
        </w:tc>
      </w:tr>
      <w:tr>
        <w:tc>
          <w:tcPr>
            <w:tcW w:w="2268" w:type="dxa"/>
          </w:tcPr>
          <w:p>
            <w:r>
              <w:rPr>
                <w:rFonts w:ascii="Times New Roman" w:hAnsi="Times New Roman"/>
                <w:sz w:val="20"/>
              </w:rPr>
              <w:t>Giới tính</w:t>
            </w:r>
          </w:p>
        </w:tc>
        <w:tc>
          <w:tcPr>
            <w:tcW w:w="6520" w:type="dxa"/>
          </w:tcPr>
          <w:p>
            <w:r>
              <w:rPr>
                <w:rFonts w:ascii="Times New Roman" w:hAnsi="Times New Roman"/>
                <w:sz w:val="20"/>
              </w:rPr>
              <w:t>Nữ giới có nguy cơ cao hơn nam</w:t>
            </w:r>
          </w:p>
        </w:tc>
      </w:tr>
      <w:tr>
        <w:tc>
          <w:tcPr>
            <w:tcW w:w="2268" w:type="dxa"/>
          </w:tcPr>
          <w:p>
            <w:r>
              <w:rPr>
                <w:rFonts w:ascii="Times New Roman" w:hAnsi="Times New Roman"/>
                <w:sz w:val="20"/>
              </w:rPr>
              <w:t>Kinh tế – xã hội</w:t>
            </w:r>
          </w:p>
        </w:tc>
        <w:tc>
          <w:tcPr>
            <w:tcW w:w="6520" w:type="dxa"/>
          </w:tcPr>
          <w:p>
            <w:r>
              <w:rPr>
                <w:rFonts w:ascii="Times New Roman" w:hAnsi="Times New Roman"/>
                <w:sz w:val="20"/>
              </w:rPr>
              <w:t>Nghèo đói, bất bình đẳng</w:t>
            </w:r>
          </w:p>
        </w:tc>
      </w:tr>
      <w:tr>
        <w:tc>
          <w:tcPr>
            <w:tcW w:w="2268" w:type="dxa"/>
          </w:tcPr>
          <w:p>
            <w:r>
              <w:rPr>
                <w:rFonts w:ascii="Times New Roman" w:hAnsi="Times New Roman"/>
                <w:sz w:val="20"/>
              </w:rPr>
              <w:t>Gia đình</w:t>
            </w:r>
          </w:p>
        </w:tc>
        <w:tc>
          <w:tcPr>
            <w:tcW w:w="6520" w:type="dxa"/>
          </w:tcPr>
          <w:p>
            <w:r>
              <w:rPr>
                <w:rFonts w:ascii="Times New Roman" w:hAnsi="Times New Roman"/>
                <w:sz w:val="20"/>
              </w:rPr>
              <w:t>Bạo lực gia đình, mất cha mẹ, thiếu hỗ trợ xã hội</w:t>
            </w:r>
          </w:p>
        </w:tc>
      </w:tr>
      <w:tr>
        <w:tc>
          <w:tcPr>
            <w:tcW w:w="2268" w:type="dxa"/>
          </w:tcPr>
          <w:p>
            <w:r>
              <w:rPr>
                <w:rFonts w:ascii="Times New Roman" w:hAnsi="Times New Roman"/>
                <w:sz w:val="20"/>
              </w:rPr>
              <w:t>Trường học</w:t>
            </w:r>
          </w:p>
        </w:tc>
        <w:tc>
          <w:tcPr>
            <w:tcW w:w="6520" w:type="dxa"/>
          </w:tcPr>
          <w:p>
            <w:r>
              <w:rPr>
                <w:rFonts w:ascii="Times New Roman" w:hAnsi="Times New Roman"/>
                <w:sz w:val="20"/>
              </w:rPr>
              <w:t>Bắt nạt, áp lực học tập</w:t>
            </w:r>
          </w:p>
        </w:tc>
      </w:tr>
      <w:tr>
        <w:tc>
          <w:tcPr>
            <w:tcW w:w="2268" w:type="dxa"/>
          </w:tcPr>
          <w:p>
            <w:r>
              <w:rPr>
                <w:rFonts w:ascii="Times New Roman" w:hAnsi="Times New Roman"/>
                <w:sz w:val="20"/>
              </w:rPr>
              <w:t>Văn hoá</w:t>
            </w:r>
          </w:p>
        </w:tc>
        <w:tc>
          <w:tcPr>
            <w:tcW w:w="6520" w:type="dxa"/>
          </w:tcPr>
          <w:p>
            <w:r>
              <w:rPr>
                <w:rFonts w:ascii="Times New Roman" w:hAnsi="Times New Roman"/>
                <w:sz w:val="20"/>
              </w:rPr>
              <w:t>Kỳ thị SKTT, rào cản văn hoá ngăn tiếp cận dịch vụ</w:t>
            </w:r>
          </w:p>
        </w:tc>
      </w:tr>
    </w:tbl>
    <w:p>
      <w:pPr>
        <w:pStyle w:val="Heading2"/>
      </w:pPr>
      <w:r>
        <w:rPr>
          <w:rFonts w:ascii="Times New Roman" w:hAnsi="Times New Roman"/>
          <w:color w:val="000000"/>
        </w:rPr>
        <w:t>Phản biện</w:t>
      </w:r>
    </w:p>
    <w:p>
      <w:pPr>
        <w:jc w:val="both"/>
      </w:pPr>
      <w:r>
        <w:rPr>
          <w:rFonts w:ascii="Times New Roman" w:hAnsi="Times New Roman"/>
          <w:b w:val="0"/>
          <w:i w:val="0"/>
          <w:sz w:val="24"/>
        </w:rPr>
        <w:t>Điểm mạnh: Tổng quan đầu tiên tập trung vào VTN Nam Á — khu vực chiếm 24 % dân số thế giới nhưng ít được nghiên cứu. Đăng trên Lancet Regional Health — tạp chí uy tín cao. Bao phủ 8 quốc gia với đa dạng văn hoá, tôn giáo, kinh tế. Xác định rõ khoảng trống: tỷ lệ dao động 1,5–81,6 % do thiếu chuẩn hoá phương pháp.</w:t>
      </w:r>
    </w:p>
    <w:p>
      <w:pPr>
        <w:jc w:val="both"/>
      </w:pPr>
      <w:r>
        <w:rPr>
          <w:rFonts w:ascii="Times New Roman" w:hAnsi="Times New Roman"/>
          <w:b w:val="0"/>
          <w:i w:val="0"/>
          <w:sz w:val="24"/>
        </w:rPr>
        <w:t>Hạn chế: (1) KHÔNG có meta-analysis do heterogeneity quá cao; (2) Phần lớn nghiên cứu từ Ấn Độ — thiếu dữ liệu từ Afghanistan, Bhutan, Maldives; (3) Tập trung Nam Á — không bao gồm Đông Nam Á (VN, Indonesia, Philippines); (4) Không phân biệt rõ lo âu và trầm cảm trong báo cáo tổng hợp.</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Mở rộng sang Đông Nam Á để so sánh liên khu vực (phối hợp với GBD 2021 ASEAN Collaborators 2025 = QT012). Chuẩn hoá công cụ đo lường xuyên quốc gia Nam Á. RCT can thiệp phù hợp văn hoá tại trường học Nam Á. Việt Nam có thể học được từ mô hình De Silva Sri Lanka (QT038) về CBT trường học LMIC Nam Á.</w:t>
      </w:r>
    </w:p>
    <w:p>
      <w:pPr>
        <w:jc w:val="both"/>
      </w:pPr>
      <w:r>
        <w:rPr>
          <w:rFonts w:ascii="Times New Roman" w:hAnsi="Times New Roman"/>
          <w:b/>
          <w:i w:val="0"/>
          <w:sz w:val="24"/>
        </w:rPr>
        <w:t>Đánh giá chất lượng: ⭐⭐⭐⭐ Cao. SR đầu tiên Nam Á, Lancet Regional Health Q1, phản ánh khoảng trống quan trọng. Hạn chế: heterogeneity quá cao.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