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97D"/>
        </w:rPr>
        <w:t>QT018 — Tóm tắt bài nghiên cứu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1F2"/>
          </w:tcPr>
          <w:p>
            <w:r>
              <w:rPr>
                <w:b/>
              </w:rPr>
              <w:t>Tên công trình (VN)</w:t>
            </w:r>
          </w:p>
        </w:tc>
        <w:tc>
          <w:tcPr>
            <w:tcW w:type="dxa" w:w="4320"/>
          </w:tcPr>
          <w:p>
            <w:r>
              <w:t>Tỷ lệ mắc rối loạn lo âu xã hội toàn cầu ở trẻ em, vị thành niên và thanh niên: Tổng quan hệ thống và phân tích tổng hợp</w:t>
            </w:r>
          </w:p>
        </w:tc>
      </w:tr>
      <w:tr>
        <w:tc>
          <w:tcPr>
            <w:tcW w:type="dxa" w:w="4320"/>
            <w:shd w:fill="D9E1F2"/>
          </w:tcPr>
          <w:p>
            <w:r>
              <w:rPr>
                <w:b/>
              </w:rPr>
              <w:t>Tên công trình (EN)</w:t>
            </w:r>
          </w:p>
        </w:tc>
        <w:tc>
          <w:tcPr>
            <w:tcW w:type="dxa" w:w="4320"/>
          </w:tcPr>
          <w:p>
            <w:r>
              <w:t>Global Prevalence of Social Anxiety Disorder in Children, Adolescents and Youth: A Systematic Review and Meta-analysis</w:t>
            </w:r>
          </w:p>
        </w:tc>
      </w:tr>
      <w:tr>
        <w:tc>
          <w:tcPr>
            <w:tcW w:type="dxa" w:w="4320"/>
            <w:shd w:fill="D9E1F2"/>
          </w:tcPr>
          <w:p>
            <w:r>
              <w:rPr>
                <w:b/>
              </w:rPr>
              <w:t>Tác giả</w:t>
            </w:r>
          </w:p>
        </w:tc>
        <w:tc>
          <w:tcPr>
            <w:tcW w:type="dxa" w:w="4320"/>
          </w:tcPr>
          <w:p>
            <w:r>
              <w:t>Salari N, Heidarian P, Hassanabadi M, Babajani F, Abdoli N, Aminian M, Mohammadi M</w:t>
            </w:r>
          </w:p>
        </w:tc>
      </w:tr>
      <w:tr>
        <w:tc>
          <w:tcPr>
            <w:tcW w:type="dxa" w:w="4320"/>
            <w:shd w:fill="D9E1F2"/>
          </w:tcPr>
          <w:p>
            <w:r>
              <w:rPr>
                <w:b/>
              </w:rPr>
              <w:t>Đơn vị</w:t>
            </w:r>
          </w:p>
        </w:tc>
        <w:tc>
          <w:tcPr>
            <w:tcW w:type="dxa" w:w="4320"/>
          </w:tcPr>
          <w:p>
            <w:r>
              <w:t>Nhóm Iran + Ả-rập Saudi (hệ thống đại học quốc gia)</w:t>
            </w:r>
          </w:p>
        </w:tc>
      </w:tr>
      <w:tr>
        <w:tc>
          <w:tcPr>
            <w:tcW w:type="dxa" w:w="4320"/>
            <w:shd w:fill="D9E1F2"/>
          </w:tcPr>
          <w:p>
            <w:r>
              <w:rPr>
                <w:b/>
              </w:rPr>
              <w:t>Nơi công bố</w:t>
            </w:r>
          </w:p>
        </w:tc>
        <w:tc>
          <w:tcPr>
            <w:tcW w:type="dxa" w:w="4320"/>
          </w:tcPr>
          <w:p>
            <w:r>
              <w:t>Journal of Prevention (2024) 45:795-813 · Springer</w:t>
            </w:r>
          </w:p>
        </w:tc>
      </w:tr>
      <w:tr>
        <w:tc>
          <w:tcPr>
            <w:tcW w:type="dxa" w:w="4320"/>
            <w:shd w:fill="D9E1F2"/>
          </w:tcPr>
          <w:p>
            <w:r>
              <w:rPr>
                <w:b/>
              </w:rPr>
              <w:t>Năm</w:t>
            </w:r>
          </w:p>
        </w:tc>
        <w:tc>
          <w:tcPr>
            <w:tcW w:type="dxa" w:w="4320"/>
          </w:tcPr>
          <w:p>
            <w:r>
              <w:t>2024</w:t>
            </w:r>
          </w:p>
        </w:tc>
      </w:tr>
      <w:tr>
        <w:tc>
          <w:tcPr>
            <w:tcW w:type="dxa" w:w="4320"/>
            <w:shd w:fill="D9E1F2"/>
          </w:tcPr>
          <w:p>
            <w:r>
              <w:rPr>
                <w:b/>
              </w:rPr>
              <w:t>Địa bàn + mẫu + công cụ</w:t>
            </w:r>
          </w:p>
        </w:tc>
        <w:tc>
          <w:tcPr>
            <w:tcW w:type="dxa" w:w="4320"/>
          </w:tcPr>
          <w:p>
            <w:r>
              <w:t>Toàn cầu (6 databases: PubMed, Scopus, Web of Science, Embase, ScienceDirect, Google Scholar) | 38 nghiên cứu nguyên bản gộp trong MA (tổng n không báo trong abstract) | Công cụ: Random-effects MA; Comprehensive Meta-Analysis v2.0; I² heterogeneity</w:t>
            </w:r>
          </w:p>
        </w:tc>
      </w:tr>
    </w:tbl>
    <w:p/>
    <w:p>
      <w:pPr>
        <w:pStyle w:val="Heading1"/>
      </w:pPr>
      <w:r>
        <w:rPr>
          <w:color w:val="1F497D"/>
        </w:rPr>
        <w:t>Phương pháp nghiên cứu</w:t>
      </w:r>
    </w:p>
    <w:p>
      <w:r>
        <w:t>• Systematic review + meta-analysis (random-effects)</w:t>
      </w:r>
    </w:p>
    <w:p>
      <w:r>
        <w:t>• Mẫu: 38 nghiên cứu nguyên bản gộp trong MA (tổng n không báo trong abstract)</w:t>
      </w:r>
    </w:p>
    <w:p>
      <w:r>
        <w:t>• Công cụ: Random-effects MA; Comprehensive Meta-Analysis v2.0; I² heterogeneity</w:t>
      </w:r>
    </w:p>
    <w:p>
      <w:pPr>
        <w:pStyle w:val="Heading1"/>
      </w:pPr>
      <w:r>
        <w:rPr>
          <w:color w:val="1F497D"/>
        </w:rPr>
        <w:t>Kết quả nghiên cứu</w:t>
      </w:r>
    </w:p>
    <w:p>
      <w:r>
        <w:t>• Tỷ lệ SAD toàn cầu TRẺ EM: 4,7 %</w:t>
      </w:r>
    </w:p>
    <w:p>
      <w:r>
        <w:t>• Tỷ lệ SAD toàn cầu VỊ THÀNH NIÊN: 8,3 %</w:t>
      </w:r>
    </w:p>
    <w:p>
      <w:r>
        <w:t>• (Tỷ lệ ở thanh niên — số cụ thể cần verify chương kết quả)</w:t>
      </w:r>
    </w:p>
    <w:p>
      <w:r>
        <w:t>• 38 nghiên cứu, random-effects — có tính heterogeneity qua I²</w:t>
      </w:r>
    </w:p>
    <w:p>
      <w:pPr>
        <w:pStyle w:val="Heading1"/>
      </w:pPr>
      <w:r>
        <w:rPr>
          <w:color w:val="365F2C"/>
        </w:rPr>
        <w:t>Điểm mạnh</w:t>
      </w:r>
    </w:p>
    <w:p>
      <w:r>
        <w:t>• Search 6 databases lớn (toàn diện)</w:t>
      </w:r>
    </w:p>
    <w:p>
      <w:r>
        <w:t>• Tách theo 3 nhóm tuổi (children / adolescents / youth) — đặc biệt hữu ích cho đề tài HS THCS/THPT</w:t>
      </w:r>
    </w:p>
    <w:p>
      <w:r>
        <w:t>• J Prevention — tạp chí peer-reviewed có IF</w:t>
      </w:r>
    </w:p>
    <w:p>
      <w:r>
        <w:t>• Methodology MA chuẩn (random-effects, Comprehensive MA v2.0)</w:t>
      </w:r>
    </w:p>
    <w:p>
      <w:pPr>
        <w:pStyle w:val="Heading1"/>
      </w:pPr>
      <w:r>
        <w:rPr>
          <w:color w:val="C0504D"/>
        </w:rPr>
        <w:t>Hạn chế</w:t>
      </w:r>
    </w:p>
    <w:p>
      <w:r>
        <w:t>• Nhóm tác giả Iran — cần check conflict of interest / selection bias ngôn ngữ</w:t>
      </w:r>
    </w:p>
    <w:p>
      <w:r>
        <w:t>• Số liệu SAD children 4,7 % thấp hơn nhiều NC cá thể (ví dụ Jefferies 2020 VN 30,7 %) — có thể do heterogeneity cao hoặc hợp nhất phương pháp</w:t>
      </w:r>
    </w:p>
    <w:p>
      <w:r>
        <w:t>• Chưa đọc chi tiết forest plot — không rõ heterogeneity I²</w:t>
      </w:r>
    </w:p>
    <w:p>
      <w:r>
        <w:t>• Abstract không nêu rõ số cỡ mẫu tổng (chỉ số NC)</w:t>
      </w:r>
    </w:p>
    <w:p>
      <w:pPr>
        <w:pStyle w:val="Heading1"/>
      </w:pPr>
      <w:r>
        <w:rPr>
          <w:color w:val="C00000"/>
        </w:rPr>
        <w:t>Phản biện ngắn</w:t>
      </w:r>
    </w:p>
    <w:p>
      <w:r>
        <w:rPr>
          <w:color w:val="C00000"/>
        </w:rPr>
        <w:t>MA global về SAD ở trẻ em/VTN — QUAN TRỌNG để có baseline toàn cầu so sánh VN. 4,7 % children + 8,3 % adolescents là ước tính MA "chặt" nhưng thấp hơn các NC cắt ngang VN (Jefferies 2020: VN 30,7 %). Chênh lệch lớn đáng chú ý — có thể do: (1) SIAS-17 đo lo âu tương tác khác với chẩn đoán SAD đầy đủ; (2) heterogeneity giữa các NC trong MA.</w:t>
      </w:r>
    </w:p>
    <w:p>
      <w:pPr>
        <w:pStyle w:val="Heading1"/>
      </w:pPr>
      <w:r>
        <w:rPr>
          <w:color w:val="1F497D"/>
        </w:rPr>
        <w:t>Hướng nghiên cứu tiếp theo</w:t>
      </w:r>
    </w:p>
    <w:p>
      <w:r>
        <w:t>Subgroup analysis theo khu vực (LMIC vs HIC, Đông Á vs Nam Á vs Đông Nam Á). Đối chiếu với Jefferies 2020 (7 nước). Verify số cụ thể "youth" từ chương kết quả.</w:t>
      </w:r>
    </w:p>
    <w:p>
      <w:pPr>
        <w:pStyle w:val="Heading1"/>
      </w:pPr>
      <w:r>
        <w:rPr>
          <w:color w:val="BF610E"/>
        </w:rPr>
        <w:t>Đánh giá chất lượng: ⭐⭐⭐⭐ (4/5)</w:t>
      </w:r>
    </w:p>
    <w:p/>
    <w:p>
      <w:r>
        <w:rPr>
          <w:b/>
          <w:sz w:val="20"/>
        </w:rPr>
        <w:t xml:space="preserve">Key fact cho RAG: </w:t>
      </w:r>
      <w:r>
        <w:rPr>
          <w:sz w:val="20"/>
        </w:rPr>
        <w:t>Global SAD: 4,7 % children, 8,3 % VTN (Salari 2024 MA 38 NC). Dùng để compare baseline với VN 30,7 %.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