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QT38 — Cluster RCT can thiệp CBT tại trường ở Sri Lanka</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"Effectiveness of a cognitive behavioural therapy (CBT)-based intervention for reducing anxiety among adolescents in the Colombo District, Sri Lanka: A cluster randomised controlled trial" của De Silva, S. và cộng sự (2024), đăng trên Child and Adolescent Psychiatry and Mental Health vol. 18, article 108, tr. 1–12 (Q1, IF ≈ 4,0). DOI 10.1186/s13034-024-00799-9. Open Access. Mẫu: 720 học sinh lớp 9 (~ 14 tuổi) tại 36 trường THCS khu vực Colombo, Sri Lanka. Đây là một trong số ít cluster RCT về can thiệp CBT trường tại các nước LMIC Nam Á.</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Thiết kế cluster RCT — phân ngẫu nhiên TRƯỜNG học (không phải học sinh): 18 trường can thiệp + 18 trường đối chứng. Mỗi nhánh 360 học sinh, tổng cộng 720 học sinh lớp 9. Can thiệp gồm 8 phiên CBT mỗi tuần, 40 phút/phiên, do GIÁO VIÊN cung cấp sau khi được đào tạo. Chương trình bao gồm tâm lý giáo dục, kỹ thuật thở, tái cấu trúc nhận thức, kỹ năng giải quyết vấn đề và kỹ năng đối phó. Theo dõi 3 tháng sau can thiệp.</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Tỷ lệ mất mẫu &lt; 1 % — tuân thủ rất cao, chứng tỏ tính khả thi của mô hình. Lo âu giảm có ý nghĩa thống kê sau 3 tháng: β = −0,096 (KTC 95 %: −0,186 đến −0,005, p = 0,038). Tự trọng (self-esteem) tăng có ý nghĩa: β = +0,811 sau can thiệp.</w:t>
      </w:r>
    </w:p>
    <w:tbl>
      <w:tblPr>
        <w:tblStyle w:val="TableGrid"/>
        <w:tblW w:type="auto" w:w="0"/>
        <w:jc w:val="center"/>
        <w:tblLook w:firstColumn="1" w:firstRow="1" w:lastColumn="0" w:lastRow="0" w:noHBand="0" w:noVBand="1" w:val="04A0"/>
        <w:tblLayout w:type="fixed"/>
      </w:tblPr>
      <w:tblGrid>
        <w:gridCol w:w="2835"/>
        <w:gridCol w:w="1701"/>
        <w:gridCol w:w="2551"/>
        <w:gridCol w:w="1417"/>
      </w:tblGrid>
      <w:tr>
        <w:tc>
          <w:tcPr>
            <w:tcW w:w="2835" w:type="dxa"/>
            <w:shd w:fill="D9E2F3" w:val="clear"/>
          </w:tcPr>
          <w:p>
            <w:pPr>
              <w:jc w:val="center"/>
            </w:pPr>
            <w:r>
              <w:rPr>
                <w:rFonts w:ascii="Times New Roman" w:hAnsi="Times New Roman"/>
                <w:b/>
                <w:sz w:val="20"/>
              </w:rPr>
              <w:t>Kết quả</w:t>
            </w:r>
          </w:p>
        </w:tc>
        <w:tc>
          <w:tcPr>
            <w:tcW w:w="1701" w:type="dxa"/>
            <w:shd w:fill="D9E2F3" w:val="clear"/>
          </w:tcPr>
          <w:p>
            <w:pPr>
              <w:jc w:val="center"/>
            </w:pPr>
            <w:r>
              <w:rPr>
                <w:rFonts w:ascii="Times New Roman" w:hAnsi="Times New Roman"/>
                <w:b/>
                <w:sz w:val="20"/>
              </w:rPr>
              <w:t>Beta</w:t>
            </w:r>
          </w:p>
        </w:tc>
        <w:tc>
          <w:tcPr>
            <w:tcW w:w="2551" w:type="dxa"/>
            <w:shd w:fill="D9E2F3" w:val="clear"/>
          </w:tcPr>
          <w:p>
            <w:pPr>
              <w:jc w:val="center"/>
            </w:pPr>
            <w:r>
              <w:rPr>
                <w:rFonts w:ascii="Times New Roman" w:hAnsi="Times New Roman"/>
                <w:b/>
                <w:sz w:val="20"/>
              </w:rPr>
              <w:t>KTC 95 %</w:t>
            </w:r>
          </w:p>
        </w:tc>
        <w:tc>
          <w:tcPr>
            <w:tcW w:w="1417" w:type="dxa"/>
            <w:shd w:fill="D9E2F3" w:val="clear"/>
          </w:tcPr>
          <w:p>
            <w:pPr>
              <w:jc w:val="center"/>
            </w:pPr>
            <w:r>
              <w:rPr>
                <w:rFonts w:ascii="Times New Roman" w:hAnsi="Times New Roman"/>
                <w:b/>
                <w:sz w:val="20"/>
              </w:rPr>
              <w:t>p</w:t>
            </w:r>
          </w:p>
        </w:tc>
      </w:tr>
      <w:tr>
        <w:tc>
          <w:tcPr>
            <w:tcW w:w="2835" w:type="dxa"/>
          </w:tcPr>
          <w:p>
            <w:r>
              <w:rPr>
                <w:rFonts w:ascii="Times New Roman" w:hAnsi="Times New Roman"/>
                <w:sz w:val="20"/>
              </w:rPr>
              <w:t>Lo âu giảm</w:t>
            </w:r>
          </w:p>
        </w:tc>
        <w:tc>
          <w:tcPr>
            <w:tcW w:w="1701" w:type="dxa"/>
          </w:tcPr>
          <w:p>
            <w:r>
              <w:rPr>
                <w:rFonts w:ascii="Times New Roman" w:hAnsi="Times New Roman"/>
                <w:sz w:val="20"/>
              </w:rPr>
              <w:t>−0,096</w:t>
            </w:r>
          </w:p>
        </w:tc>
        <w:tc>
          <w:tcPr>
            <w:tcW w:w="2551" w:type="dxa"/>
          </w:tcPr>
          <w:p>
            <w:r>
              <w:rPr>
                <w:rFonts w:ascii="Times New Roman" w:hAnsi="Times New Roman"/>
                <w:sz w:val="20"/>
              </w:rPr>
              <w:t>−0,186 đến −0,005</w:t>
            </w:r>
          </w:p>
        </w:tc>
        <w:tc>
          <w:tcPr>
            <w:tcW w:w="1417" w:type="dxa"/>
          </w:tcPr>
          <w:p>
            <w:r>
              <w:rPr>
                <w:rFonts w:ascii="Times New Roman" w:hAnsi="Times New Roman"/>
                <w:sz w:val="20"/>
              </w:rPr>
              <w:t>0,038</w:t>
            </w:r>
          </w:p>
        </w:tc>
      </w:tr>
      <w:tr>
        <w:tc>
          <w:tcPr>
            <w:tcW w:w="2835" w:type="dxa"/>
          </w:tcPr>
          <w:p>
            <w:r>
              <w:rPr>
                <w:rFonts w:ascii="Times New Roman" w:hAnsi="Times New Roman"/>
                <w:sz w:val="20"/>
              </w:rPr>
              <w:t>Tự trọng tăng</w:t>
            </w:r>
          </w:p>
        </w:tc>
        <w:tc>
          <w:tcPr>
            <w:tcW w:w="1701" w:type="dxa"/>
          </w:tcPr>
          <w:p>
            <w:r>
              <w:rPr>
                <w:rFonts w:ascii="Times New Roman" w:hAnsi="Times New Roman"/>
                <w:sz w:val="20"/>
              </w:rPr>
              <w:t>+0,811</w:t>
            </w:r>
          </w:p>
        </w:tc>
        <w:tc>
          <w:tcPr>
            <w:tcW w:w="2551" w:type="dxa"/>
          </w:tcPr>
          <w:p>
            <w:r>
              <w:rPr>
                <w:rFonts w:ascii="Times New Roman" w:hAnsi="Times New Roman"/>
                <w:sz w:val="20"/>
              </w:rPr>
              <w:t>—</w:t>
            </w:r>
          </w:p>
        </w:tc>
        <w:tc>
          <w:tcPr>
            <w:tcW w:w="1417" w:type="dxa"/>
          </w:tcPr>
          <w:p>
            <w:r>
              <w:rPr>
                <w:rFonts w:ascii="Times New Roman" w:hAnsi="Times New Roman"/>
                <w:sz w:val="20"/>
              </w:rPr>
              <w:t>&lt; 0,01</w:t>
            </w:r>
          </w:p>
        </w:tc>
      </w:tr>
      <w:tr>
        <w:tc>
          <w:tcPr>
            <w:tcW w:w="2835" w:type="dxa"/>
          </w:tcPr>
          <w:p>
            <w:r>
              <w:rPr>
                <w:rFonts w:ascii="Times New Roman" w:hAnsi="Times New Roman"/>
                <w:sz w:val="20"/>
              </w:rPr>
              <w:t>Mất mẫu</w:t>
            </w:r>
          </w:p>
        </w:tc>
        <w:tc>
          <w:tcPr>
            <w:tcW w:w="1701" w:type="dxa"/>
          </w:tcPr>
          <w:p>
            <w:r>
              <w:rPr>
                <w:rFonts w:ascii="Times New Roman" w:hAnsi="Times New Roman"/>
                <w:sz w:val="20"/>
              </w:rPr>
              <w:t>&lt; 1 %</w:t>
            </w:r>
          </w:p>
        </w:tc>
        <w:tc>
          <w:tcPr>
            <w:tcW w:w="2551" w:type="dxa"/>
          </w:tcPr>
          <w:p>
            <w:r>
              <w:rPr>
                <w:rFonts w:ascii="Times New Roman" w:hAnsi="Times New Roman"/>
                <w:sz w:val="20"/>
              </w:rPr>
              <w:t>—</w:t>
            </w:r>
          </w:p>
        </w:tc>
        <w:tc>
          <w:tcPr>
            <w:tcW w:w="1417" w:type="dxa"/>
          </w:tcPr>
          <w:p>
            <w:r>
              <w:rPr>
                <w:rFonts w:ascii="Times New Roman" w:hAnsi="Times New Roman"/>
                <w:sz w:val="20"/>
              </w:rPr>
              <w:t>—</w:t>
            </w:r>
          </w:p>
        </w:tc>
      </w:tr>
    </w:tbl>
    <w:p>
      <w:pPr>
        <w:pStyle w:val="Heading2"/>
      </w:pPr>
      <w:r>
        <w:rPr>
          <w:rFonts w:ascii="Times New Roman" w:hAnsi="Times New Roman"/>
          <w:color w:val="000000"/>
        </w:rPr>
        <w:t>Phản biện</w:t>
      </w:r>
    </w:p>
    <w:p>
      <w:pPr>
        <w:jc w:val="both"/>
      </w:pPr>
      <w:r>
        <w:rPr>
          <w:rFonts w:ascii="Times New Roman" w:hAnsi="Times New Roman"/>
          <w:b w:val="0"/>
          <w:i w:val="0"/>
          <w:sz w:val="24"/>
        </w:rPr>
        <w:t>Sri Lanka là quốc gia LMIC Nam Á — bối cảnh nguồn lực hạn chế tương tự Việt Nam. Cluster RCT là thiết kế MẠNH NHẤT cho can thiệp trường học. Mô hình "GV cung cấp CBT" rẻ tiền, có thể nhân rộng — đây là MÔ HÌNH KHẢ THI nhất cho VN trong số tất cả các nghiên cứu được tổng hợp. Hạn chế: chỉ 1 quận (Colombo District), beta lo âu nhỏ (−0,096) mặc dù p &lt; 0,05 — hiệu lực lâm sàng cần đánh giá thêm. Theo dõi chỉ 3 tháng — chưa rõ duy trì lâu dài.</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Cần lặp lại tại Việt Nam với cluster RCT tương tự — đào tạo giáo viên cố vấn tâm lý hoặc giáo viên môn tâm lý. Theo dõi 6, 12 tháng để đánh giá duy trì. Mở rộng đa vùng (đô thị, nông thôn, dân tộc thiểu số). So sánh GV vs chuyên gia tâm lý cung cấp can thiệp.</w:t>
      </w:r>
    </w:p>
    <w:p>
      <w:pPr>
        <w:jc w:val="both"/>
      </w:pPr>
      <w:r>
        <w:rPr>
          <w:rFonts w:ascii="Times New Roman" w:hAnsi="Times New Roman"/>
          <w:b/>
          <w:i w:val="0"/>
          <w:sz w:val="24"/>
        </w:rPr>
        <w:t>Đánh giá chất lượng: ⭐⭐⭐⭐⭐ Rất cao. Cluster RCT 720 HS, Q1, mô hình khả thi cho LMIC.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