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QT39 — Network Meta-Analysis can thiệp tâm lý cho lo âu xã hội</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"Psychological interventions for social anxiety disorder in children and adolescents: A systematic review and network meta-analysis" của Xian, J., Zhang, Y. &amp; Jiang, B. (2024), đăng trên Journal of Affective Disorders vol. 365, tr. 614–627 (Q1, IF ≈ 6,6). DOI 10.1016/j.jad.2024.08.097. PROSPERO CRD42023476829. Phân tích tổng hợp 30 RCT với 1.547 trẻ em và vị thành niên có rối loạn lo âu xã hội (SAD), so sánh 9 liệu pháp tâm lý + 3 nhóm đối chứng.</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Tìm kiếm hệ thống PubMed, Embase, Cochrane, Web of Science. Chỉ chọn RCT. NMA Bayesian sử dụng R Studio. Đánh giá chất lượng bằng GRADE. So sánh xếp hạng các can thiệp bằng chỉ số SUCRA (Surface Under the Cumulative Ranking Curve). Tổng cộng 30 RCT được đưa vào phân tích cuối cùng.</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iCBT (CBT qua internet) đứng HẠNG 1 với SUCRA = 71,2 % — bằng chứng mạnh nhất cho can thiệp SAD ở VTN. gCBT (CBT nhóm) đứng hạng 2 với SUCRA = 68,4 %. Hai phát hiện phụ quan trọng: (1) iCBT cho hiệu quả tốt nhất với TRẦM CẢM kèm theo (SUCRA 92,2 % — "hai trong một"); (2) gCBT xếp hạng 1 cho cải thiện CHỨC NĂNG xã hội (SUCRA 89,6 %). Như vậy, kết hợp iCBT (giảm triệu chứng) với gCBT (phục hồi chức năng) có thể là chiến lược tối ưu.</w:t>
      </w:r>
    </w:p>
    <w:tbl>
      <w:tblPr>
        <w:tblStyle w:val="TableGrid"/>
        <w:tblW w:type="auto" w:w="0"/>
        <w:jc w:val="center"/>
        <w:tblLook w:firstColumn="1" w:firstRow="1" w:lastColumn="0" w:lastRow="0" w:noHBand="0" w:noVBand="1" w:val="04A0"/>
        <w:tblLayout w:type="fixed"/>
      </w:tblPr>
      <w:tblGrid>
        <w:gridCol w:w="680"/>
        <w:gridCol w:w="2835"/>
        <w:gridCol w:w="1417"/>
        <w:gridCol w:w="3685"/>
      </w:tblGrid>
      <w:tr>
        <w:tc>
          <w:tcPr>
            <w:tcW w:w="680" w:type="dxa"/>
            <w:shd w:fill="D9E2F3" w:val="clear"/>
          </w:tcPr>
          <w:p>
            <w:pPr>
              <w:jc w:val="center"/>
            </w:pPr>
            <w:r>
              <w:rPr>
                <w:rFonts w:ascii="Times New Roman" w:hAnsi="Times New Roman"/>
                <w:b/>
                <w:sz w:val="20"/>
              </w:rPr>
              <w:t>Hạng</w:t>
            </w:r>
          </w:p>
        </w:tc>
        <w:tc>
          <w:tcPr>
            <w:tcW w:w="2835" w:type="dxa"/>
            <w:shd w:fill="D9E2F3" w:val="clear"/>
          </w:tcPr>
          <w:p>
            <w:pPr>
              <w:jc w:val="center"/>
            </w:pPr>
            <w:r>
              <w:rPr>
                <w:rFonts w:ascii="Times New Roman" w:hAnsi="Times New Roman"/>
                <w:b/>
                <w:sz w:val="20"/>
              </w:rPr>
              <w:t>Liệu pháp</w:t>
            </w:r>
          </w:p>
        </w:tc>
        <w:tc>
          <w:tcPr>
            <w:tcW w:w="1417" w:type="dxa"/>
            <w:shd w:fill="D9E2F3" w:val="clear"/>
          </w:tcPr>
          <w:p>
            <w:pPr>
              <w:jc w:val="center"/>
            </w:pPr>
            <w:r>
              <w:rPr>
                <w:rFonts w:ascii="Times New Roman" w:hAnsi="Times New Roman"/>
                <w:b/>
                <w:sz w:val="20"/>
              </w:rPr>
              <w:t>SUCRA (%)</w:t>
            </w:r>
          </w:p>
        </w:tc>
        <w:tc>
          <w:tcPr>
            <w:tcW w:w="3685" w:type="dxa"/>
            <w:shd w:fill="D9E2F3" w:val="clear"/>
          </w:tcPr>
          <w:p>
            <w:pPr>
              <w:jc w:val="center"/>
            </w:pPr>
            <w:r>
              <w:rPr>
                <w:rFonts w:ascii="Times New Roman" w:hAnsi="Times New Roman"/>
                <w:b/>
                <w:sz w:val="20"/>
              </w:rPr>
              <w:t>Đặc điểm</w:t>
            </w:r>
          </w:p>
        </w:tc>
      </w:tr>
      <w:tr>
        <w:tc>
          <w:tcPr>
            <w:tcW w:w="680" w:type="dxa"/>
          </w:tcPr>
          <w:p>
            <w:r>
              <w:rPr>
                <w:rFonts w:ascii="Times New Roman" w:hAnsi="Times New Roman"/>
                <w:sz w:val="20"/>
              </w:rPr>
              <w:t>1</w:t>
            </w:r>
          </w:p>
        </w:tc>
        <w:tc>
          <w:tcPr>
            <w:tcW w:w="2835" w:type="dxa"/>
          </w:tcPr>
          <w:p>
            <w:r>
              <w:rPr>
                <w:rFonts w:ascii="Times New Roman" w:hAnsi="Times New Roman"/>
                <w:sz w:val="20"/>
              </w:rPr>
              <w:t>iCBT (internet CBT)</w:t>
            </w:r>
          </w:p>
        </w:tc>
        <w:tc>
          <w:tcPr>
            <w:tcW w:w="1417" w:type="dxa"/>
          </w:tcPr>
          <w:p>
            <w:r>
              <w:rPr>
                <w:rFonts w:ascii="Times New Roman" w:hAnsi="Times New Roman"/>
                <w:sz w:val="20"/>
              </w:rPr>
              <w:t>71,2</w:t>
            </w:r>
          </w:p>
        </w:tc>
        <w:tc>
          <w:tcPr>
            <w:tcW w:w="3685" w:type="dxa"/>
          </w:tcPr>
          <w:p>
            <w:r>
              <w:rPr>
                <w:rFonts w:ascii="Times New Roman" w:hAnsi="Times New Roman"/>
                <w:sz w:val="20"/>
              </w:rPr>
              <w:t>Tự học online + hướng dẫn</w:t>
            </w:r>
          </w:p>
        </w:tc>
      </w:tr>
      <w:tr>
        <w:tc>
          <w:tcPr>
            <w:tcW w:w="680" w:type="dxa"/>
          </w:tcPr>
          <w:p>
            <w:r>
              <w:rPr>
                <w:rFonts w:ascii="Times New Roman" w:hAnsi="Times New Roman"/>
                <w:sz w:val="20"/>
              </w:rPr>
              <w:t>2</w:t>
            </w:r>
          </w:p>
        </w:tc>
        <w:tc>
          <w:tcPr>
            <w:tcW w:w="2835" w:type="dxa"/>
          </w:tcPr>
          <w:p>
            <w:r>
              <w:rPr>
                <w:rFonts w:ascii="Times New Roman" w:hAnsi="Times New Roman"/>
                <w:sz w:val="20"/>
              </w:rPr>
              <w:t>gCBT (CBT nhóm)</w:t>
            </w:r>
          </w:p>
        </w:tc>
        <w:tc>
          <w:tcPr>
            <w:tcW w:w="1417" w:type="dxa"/>
          </w:tcPr>
          <w:p>
            <w:r>
              <w:rPr>
                <w:rFonts w:ascii="Times New Roman" w:hAnsi="Times New Roman"/>
                <w:sz w:val="20"/>
              </w:rPr>
              <w:t>68,4</w:t>
            </w:r>
          </w:p>
        </w:tc>
        <w:tc>
          <w:tcPr>
            <w:tcW w:w="3685" w:type="dxa"/>
          </w:tcPr>
          <w:p>
            <w:r>
              <w:rPr>
                <w:rFonts w:ascii="Times New Roman" w:hAnsi="Times New Roman"/>
                <w:sz w:val="20"/>
              </w:rPr>
              <w:t>Nhóm 6–12 HS, 8–16 tuần — KHẢ THI nhất</w:t>
            </w:r>
          </w:p>
        </w:tc>
      </w:tr>
      <w:tr>
        <w:tc>
          <w:tcPr>
            <w:tcW w:w="680" w:type="dxa"/>
          </w:tcPr>
          <w:p>
            <w:r>
              <w:rPr>
                <w:rFonts w:ascii="Times New Roman" w:hAnsi="Times New Roman"/>
                <w:sz w:val="20"/>
              </w:rPr>
              <w:t>3</w:t>
            </w:r>
          </w:p>
        </w:tc>
        <w:tc>
          <w:tcPr>
            <w:tcW w:w="2835" w:type="dxa"/>
          </w:tcPr>
          <w:p>
            <w:r>
              <w:rPr>
                <w:rFonts w:ascii="Times New Roman" w:hAnsi="Times New Roman"/>
                <w:sz w:val="20"/>
              </w:rPr>
              <w:t>I-CBT (CBT cá nhân)</w:t>
            </w:r>
          </w:p>
        </w:tc>
        <w:tc>
          <w:tcPr>
            <w:tcW w:w="1417" w:type="dxa"/>
          </w:tcPr>
          <w:p>
            <w:r>
              <w:rPr>
                <w:rFonts w:ascii="Times New Roman" w:hAnsi="Times New Roman"/>
                <w:sz w:val="20"/>
              </w:rPr>
              <w:t>66,0</w:t>
            </w:r>
          </w:p>
        </w:tc>
        <w:tc>
          <w:tcPr>
            <w:tcW w:w="3685" w:type="dxa"/>
          </w:tcPr>
          <w:p>
            <w:r>
              <w:rPr>
                <w:rFonts w:ascii="Times New Roman" w:hAnsi="Times New Roman"/>
                <w:sz w:val="20"/>
              </w:rPr>
              <w:t>Tốn chuyên gia — khó cho LMIC</w:t>
            </w:r>
          </w:p>
        </w:tc>
      </w:tr>
      <w:tr>
        <w:tc>
          <w:tcPr>
            <w:tcW w:w="680" w:type="dxa"/>
          </w:tcPr>
          <w:p>
            <w:r>
              <w:rPr>
                <w:rFonts w:ascii="Times New Roman" w:hAnsi="Times New Roman"/>
                <w:sz w:val="20"/>
              </w:rPr>
              <w:t>4</w:t>
            </w:r>
          </w:p>
        </w:tc>
        <w:tc>
          <w:tcPr>
            <w:tcW w:w="2835" w:type="dxa"/>
          </w:tcPr>
          <w:p>
            <w:r>
              <w:rPr>
                <w:rFonts w:ascii="Times New Roman" w:hAnsi="Times New Roman"/>
                <w:sz w:val="20"/>
              </w:rPr>
              <w:t>SET-C</w:t>
            </w:r>
          </w:p>
        </w:tc>
        <w:tc>
          <w:tcPr>
            <w:tcW w:w="1417" w:type="dxa"/>
          </w:tcPr>
          <w:p>
            <w:r>
              <w:rPr>
                <w:rFonts w:ascii="Times New Roman" w:hAnsi="Times New Roman"/>
                <w:sz w:val="20"/>
              </w:rPr>
              <w:t>~ 60</w:t>
            </w:r>
          </w:p>
        </w:tc>
        <w:tc>
          <w:tcPr>
            <w:tcW w:w="3685" w:type="dxa"/>
          </w:tcPr>
          <w:p>
            <w:r>
              <w:rPr>
                <w:rFonts w:ascii="Times New Roman" w:hAnsi="Times New Roman"/>
                <w:sz w:val="20"/>
              </w:rPr>
              <w:t>Kỹ năng XH + phơi nhiễm</w:t>
            </w:r>
          </w:p>
        </w:tc>
      </w:tr>
      <w:tr>
        <w:tc>
          <w:tcPr>
            <w:tcW w:w="680" w:type="dxa"/>
          </w:tcPr>
          <w:p>
            <w:r>
              <w:rPr>
                <w:rFonts w:ascii="Times New Roman" w:hAnsi="Times New Roman"/>
                <w:sz w:val="20"/>
              </w:rPr>
              <w:t>5</w:t>
            </w:r>
          </w:p>
        </w:tc>
        <w:tc>
          <w:tcPr>
            <w:tcW w:w="2835" w:type="dxa"/>
          </w:tcPr>
          <w:p>
            <w:r>
              <w:rPr>
                <w:rFonts w:ascii="Times New Roman" w:hAnsi="Times New Roman"/>
                <w:sz w:val="20"/>
              </w:rPr>
              <w:t>IPT</w:t>
            </w:r>
          </w:p>
        </w:tc>
        <w:tc>
          <w:tcPr>
            <w:tcW w:w="1417" w:type="dxa"/>
          </w:tcPr>
          <w:p>
            <w:r>
              <w:rPr>
                <w:rFonts w:ascii="Times New Roman" w:hAnsi="Times New Roman"/>
                <w:sz w:val="20"/>
              </w:rPr>
              <w:t>~ 55</w:t>
            </w:r>
          </w:p>
        </w:tc>
        <w:tc>
          <w:tcPr>
            <w:tcW w:w="3685" w:type="dxa"/>
          </w:tcPr>
          <w:p>
            <w:r>
              <w:rPr>
                <w:rFonts w:ascii="Times New Roman" w:hAnsi="Times New Roman"/>
                <w:sz w:val="20"/>
              </w:rPr>
              <w:t>Liệu pháp giữa cá nhân</w:t>
            </w:r>
          </w:p>
        </w:tc>
      </w:tr>
      <w:tr>
        <w:tc>
          <w:tcPr>
            <w:tcW w:w="680" w:type="dxa"/>
          </w:tcPr>
          <w:p>
            <w:r>
              <w:rPr>
                <w:rFonts w:ascii="Times New Roman" w:hAnsi="Times New Roman"/>
                <w:sz w:val="20"/>
              </w:rPr>
              <w:t>—</w:t>
            </w:r>
          </w:p>
        </w:tc>
        <w:tc>
          <w:tcPr>
            <w:tcW w:w="2835" w:type="dxa"/>
          </w:tcPr>
          <w:p>
            <w:r>
              <w:rPr>
                <w:rFonts w:ascii="Times New Roman" w:hAnsi="Times New Roman"/>
                <w:sz w:val="20"/>
              </w:rPr>
              <w:t>WL/NT/PBO</w:t>
            </w:r>
          </w:p>
        </w:tc>
        <w:tc>
          <w:tcPr>
            <w:tcW w:w="1417" w:type="dxa"/>
          </w:tcPr>
          <w:p>
            <w:r>
              <w:rPr>
                <w:rFonts w:ascii="Times New Roman" w:hAnsi="Times New Roman"/>
                <w:sz w:val="20"/>
              </w:rPr>
              <w:t>&lt; 20</w:t>
            </w:r>
          </w:p>
        </w:tc>
        <w:tc>
          <w:tcPr>
            <w:tcW w:w="3685" w:type="dxa"/>
          </w:tcPr>
          <w:p>
            <w:r>
              <w:rPr>
                <w:rFonts w:ascii="Times New Roman" w:hAnsi="Times New Roman"/>
                <w:sz w:val="20"/>
              </w:rPr>
              <w:t>Đối chứng</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NMA cho phép so sánh GIÁN TIẾP tất cả can thiệp — bằng chứng MẠNH NHẤT về xếp hạng có thể thu được không cần thử nghiệm head-to-head. iCBT hạng 1 cho SAD — nên ưu tiên phát triển app tiếng Việt. gCBT hạng 2 nhưng có ưu thế đặc biệt cho phục hồi chức năng — phù hợp triển khai ở trường. Hạn chế: chỉ tập trung SAD (không phải GAD); 30 RCT chủ yếu từ phương Tây và Đông Á phát triển (Trung Quốc, Hàn Quốc, Nhật Bản); 0 RCT từ các nước LMIC ASEAN.</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Phát triển app iCBT tiếng Việt cho SAD — phù hợp xếp hạng số 1. Thử nghiệm gCBT nhóm tại trường THCS/THPT Việt Nam. RCT đối đầu giữa các can thiệp top 3 trong bối cảnh LMIC. Mở rộng NMA cho GAD và các rối loạn lo âu khác.</w:t>
      </w:r>
    </w:p>
    <w:p>
      <w:pPr>
        <w:jc w:val="both"/>
      </w:pPr>
      <w:r>
        <w:rPr>
          <w:rFonts w:ascii="Times New Roman" w:hAnsi="Times New Roman"/>
          <w:b/>
          <w:i w:val="0"/>
          <w:sz w:val="24"/>
        </w:rPr>
        <w:t>Đánh giá chất lượng: ⭐⭐⭐⭐⭐ Rất cao. NMA 30 RCT Q1, định hướng can thiệp SAD cho VTN.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