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QT40 — Meta-analysis Can thiệp Sức khoẻ Tâm thần Số (DMHI) cho lo âu xã hội</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"Digital mental health interventions for prevention and treatment of social anxiety disorder in children, adolescents and young adults: Systematic review and meta-analysis" của Walder, N., Frey, A., Berger, T. và cộng sự (2025), đăng trên Journal of Medical Internet Research (JMIR — Q1, IF ≈ 7,4). DOI 10.2196/preprints.67067. PROSPERO CRD42023424181. Phân tích tổng hợp 21 RCT về DMHI cho rối loạn lo âu xã hội (SAD) ở trẻ em, vị thành niên và thanh niên (TB &lt; 25 tuổi).</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Tìm kiếm hệ thống RCT đánh giá DMHI (internet, app, VR) cho lo âu xã hội ở người trẻ. 2 tác giả độc lập sàng lọc, trích xuất, đánh giá thiên lệch. Random-effects meta-analysis sử dụng Hedges g. Phân tích phụ theo: nền tảng (CBT vs khác), thiết kế (SAD-specific vs tổng quát), có hướng dẫn người vs tự học, đối chứng (WL vs khác).</w:t>
      </w:r>
    </w:p>
    <w:p>
      <w:pPr>
        <w:pStyle w:val="Heading2"/>
      </w:pPr>
      <w:r>
        <w:rPr>
          <w:rFonts w:ascii="Times New Roman" w:hAnsi="Times New Roman"/>
          <w:color w:val="000000"/>
        </w:rPr>
        <w:t>Kết quả nghiên cứu</w:t>
      </w:r>
    </w:p>
    <w:p>
      <w:pPr>
        <w:jc w:val="both"/>
      </w:pPr>
      <w:r>
        <w:rPr>
          <w:rFonts w:ascii="Times New Roman" w:hAnsi="Times New Roman"/>
          <w:b w:val="0"/>
          <w:i w:val="0"/>
          <w:sz w:val="24"/>
        </w:rPr>
        <w:t>DMHI có hiệu lực TRUNG BÌNH so với bất kỳ đối chứng nào (g = 0,508; KTC 95 %: 0,308–0,707). Hai phát hiện cốt lõi: (1) DMHI thiết kế ĐẶC THÙ cho SAD có hiệu lực LỚN NHẤT (g = 0,878), gần gấp đôi DMHI tổng quát; (2) DMHI có HƯỚNG DẪN người (g = 0,825) hiệu lực gần gấp đôi DMHI không hướng dẫn (g ≈ 0,3–0,4).</w:t>
      </w:r>
    </w:p>
    <w:tbl>
      <w:tblPr>
        <w:tblStyle w:val="TableGrid"/>
        <w:tblW w:type="auto" w:w="0"/>
        <w:jc w:val="center"/>
        <w:tblLook w:firstColumn="1" w:firstRow="1" w:lastColumn="0" w:lastRow="0" w:noHBand="0" w:noVBand="1" w:val="04A0"/>
        <w:tblLayout w:type="fixed"/>
      </w:tblPr>
      <w:tblGrid>
        <w:gridCol w:w="3118"/>
        <w:gridCol w:w="1417"/>
        <w:gridCol w:w="1984"/>
        <w:gridCol w:w="1984"/>
      </w:tblGrid>
      <w:tr>
        <w:tc>
          <w:tcPr>
            <w:tcW w:w="3118" w:type="dxa"/>
            <w:shd w:fill="D9E2F3" w:val="clear"/>
          </w:tcPr>
          <w:p>
            <w:pPr>
              <w:jc w:val="center"/>
            </w:pPr>
            <w:r>
              <w:rPr>
                <w:rFonts w:ascii="Times New Roman" w:hAnsi="Times New Roman"/>
                <w:b/>
                <w:sz w:val="20"/>
              </w:rPr>
              <w:t>Phân nhóm</w:t>
            </w:r>
          </w:p>
        </w:tc>
        <w:tc>
          <w:tcPr>
            <w:tcW w:w="1417" w:type="dxa"/>
            <w:shd w:fill="D9E2F3" w:val="clear"/>
          </w:tcPr>
          <w:p>
            <w:pPr>
              <w:jc w:val="center"/>
            </w:pPr>
            <w:r>
              <w:rPr>
                <w:rFonts w:ascii="Times New Roman" w:hAnsi="Times New Roman"/>
                <w:b/>
                <w:sz w:val="20"/>
              </w:rPr>
              <w:t>Hedges g</w:t>
            </w:r>
          </w:p>
        </w:tc>
        <w:tc>
          <w:tcPr>
            <w:tcW w:w="1984" w:type="dxa"/>
            <w:shd w:fill="D9E2F3" w:val="clear"/>
          </w:tcPr>
          <w:p>
            <w:pPr>
              <w:jc w:val="center"/>
            </w:pPr>
            <w:r>
              <w:rPr>
                <w:rFonts w:ascii="Times New Roman" w:hAnsi="Times New Roman"/>
                <w:b/>
                <w:sz w:val="20"/>
              </w:rPr>
              <w:t>KTC 95 %</w:t>
            </w:r>
          </w:p>
        </w:tc>
        <w:tc>
          <w:tcPr>
            <w:tcW w:w="1984" w:type="dxa"/>
            <w:shd w:fill="D9E2F3" w:val="clear"/>
          </w:tcPr>
          <w:p>
            <w:pPr>
              <w:jc w:val="center"/>
            </w:pPr>
            <w:r>
              <w:rPr>
                <w:rFonts w:ascii="Times New Roman" w:hAnsi="Times New Roman"/>
                <w:b/>
                <w:sz w:val="20"/>
              </w:rPr>
              <w:t>Ý nghĩa</w:t>
            </w:r>
          </w:p>
        </w:tc>
      </w:tr>
      <w:tr>
        <w:tc>
          <w:tcPr>
            <w:tcW w:w="3118" w:type="dxa"/>
          </w:tcPr>
          <w:p>
            <w:r>
              <w:rPr>
                <w:rFonts w:ascii="Times New Roman" w:hAnsi="Times New Roman"/>
                <w:sz w:val="20"/>
              </w:rPr>
              <w:t>DMHI vs đối chứng tổng</w:t>
            </w:r>
          </w:p>
        </w:tc>
        <w:tc>
          <w:tcPr>
            <w:tcW w:w="1417" w:type="dxa"/>
          </w:tcPr>
          <w:p>
            <w:r>
              <w:rPr>
                <w:rFonts w:ascii="Times New Roman" w:hAnsi="Times New Roman"/>
                <w:sz w:val="20"/>
              </w:rPr>
              <w:t>0,508</w:t>
            </w:r>
          </w:p>
        </w:tc>
        <w:tc>
          <w:tcPr>
            <w:tcW w:w="1984" w:type="dxa"/>
          </w:tcPr>
          <w:p>
            <w:r>
              <w:rPr>
                <w:rFonts w:ascii="Times New Roman" w:hAnsi="Times New Roman"/>
                <w:sz w:val="20"/>
              </w:rPr>
              <w:t>0,308–0,707</w:t>
            </w:r>
          </w:p>
        </w:tc>
        <w:tc>
          <w:tcPr>
            <w:tcW w:w="1984" w:type="dxa"/>
          </w:tcPr>
          <w:p>
            <w:r>
              <w:rPr>
                <w:rFonts w:ascii="Times New Roman" w:hAnsi="Times New Roman"/>
                <w:sz w:val="20"/>
              </w:rPr>
              <w:t>TRUNG BÌNH</w:t>
            </w:r>
          </w:p>
        </w:tc>
      </w:tr>
      <w:tr>
        <w:tc>
          <w:tcPr>
            <w:tcW w:w="3118" w:type="dxa"/>
          </w:tcPr>
          <w:p>
            <w:r>
              <w:rPr>
                <w:rFonts w:ascii="Times New Roman" w:hAnsi="Times New Roman"/>
                <w:sz w:val="20"/>
              </w:rPr>
              <w:t>DMHI vs danh sách chờ</w:t>
            </w:r>
          </w:p>
        </w:tc>
        <w:tc>
          <w:tcPr>
            <w:tcW w:w="1417" w:type="dxa"/>
          </w:tcPr>
          <w:p>
            <w:r>
              <w:rPr>
                <w:rFonts w:ascii="Times New Roman" w:hAnsi="Times New Roman"/>
                <w:sz w:val="20"/>
              </w:rPr>
              <w:t>0,576</w:t>
            </w:r>
          </w:p>
        </w:tc>
        <w:tc>
          <w:tcPr>
            <w:tcW w:w="1984" w:type="dxa"/>
          </w:tcPr>
          <w:p>
            <w:r>
              <w:rPr>
                <w:rFonts w:ascii="Times New Roman" w:hAnsi="Times New Roman"/>
                <w:sz w:val="20"/>
              </w:rPr>
              <w:t>0,343–0,809</w:t>
            </w:r>
          </w:p>
        </w:tc>
        <w:tc>
          <w:tcPr>
            <w:tcW w:w="1984" w:type="dxa"/>
          </w:tcPr>
          <w:p>
            <w:r>
              <w:rPr>
                <w:rFonts w:ascii="Times New Roman" w:hAnsi="Times New Roman"/>
                <w:sz w:val="20"/>
              </w:rPr>
              <w:t>Mạnh hơn vs WL</w:t>
            </w:r>
          </w:p>
        </w:tc>
      </w:tr>
      <w:tr>
        <w:tc>
          <w:tcPr>
            <w:tcW w:w="3118" w:type="dxa"/>
          </w:tcPr>
          <w:p>
            <w:r>
              <w:rPr>
                <w:rFonts w:ascii="Times New Roman" w:hAnsi="Times New Roman"/>
                <w:sz w:val="20"/>
              </w:rPr>
              <w:t>DMHI nền CBT</w:t>
            </w:r>
          </w:p>
        </w:tc>
        <w:tc>
          <w:tcPr>
            <w:tcW w:w="1417" w:type="dxa"/>
          </w:tcPr>
          <w:p>
            <w:r>
              <w:rPr>
                <w:rFonts w:ascii="Times New Roman" w:hAnsi="Times New Roman"/>
                <w:sz w:val="20"/>
              </w:rPr>
              <w:t>0,610</w:t>
            </w:r>
          </w:p>
        </w:tc>
        <w:tc>
          <w:tcPr>
            <w:tcW w:w="1984" w:type="dxa"/>
          </w:tcPr>
          <w:p>
            <w:r>
              <w:rPr>
                <w:rFonts w:ascii="Times New Roman" w:hAnsi="Times New Roman"/>
                <w:sz w:val="20"/>
              </w:rPr>
              <w:t>0,361–0,859</w:t>
            </w:r>
          </w:p>
        </w:tc>
        <w:tc>
          <w:tcPr>
            <w:tcW w:w="1984" w:type="dxa"/>
          </w:tcPr>
          <w:p>
            <w:r>
              <w:rPr>
                <w:rFonts w:ascii="Times New Roman" w:hAnsi="Times New Roman"/>
                <w:sz w:val="20"/>
              </w:rPr>
              <w:t>CBT nền tảng tốt</w:t>
            </w:r>
          </w:p>
        </w:tc>
      </w:tr>
      <w:tr>
        <w:tc>
          <w:tcPr>
            <w:tcW w:w="3118" w:type="dxa"/>
          </w:tcPr>
          <w:p>
            <w:r>
              <w:rPr>
                <w:rFonts w:ascii="Times New Roman" w:hAnsi="Times New Roman"/>
                <w:sz w:val="20"/>
              </w:rPr>
              <w:t>DMHI có hướng dẫn</w:t>
            </w:r>
          </w:p>
        </w:tc>
        <w:tc>
          <w:tcPr>
            <w:tcW w:w="1417" w:type="dxa"/>
          </w:tcPr>
          <w:p>
            <w:r>
              <w:rPr>
                <w:rFonts w:ascii="Times New Roman" w:hAnsi="Times New Roman"/>
                <w:sz w:val="20"/>
              </w:rPr>
              <w:t>0,825</w:t>
            </w:r>
          </w:p>
        </w:tc>
        <w:tc>
          <w:tcPr>
            <w:tcW w:w="1984" w:type="dxa"/>
          </w:tcPr>
          <w:p>
            <w:r>
              <w:rPr>
                <w:rFonts w:ascii="Times New Roman" w:hAnsi="Times New Roman"/>
                <w:sz w:val="20"/>
              </w:rPr>
              <w:t>0,425–1,224</w:t>
            </w:r>
          </w:p>
        </w:tc>
        <w:tc>
          <w:tcPr>
            <w:tcW w:w="1984" w:type="dxa"/>
          </w:tcPr>
          <w:p>
            <w:r>
              <w:rPr>
                <w:rFonts w:ascii="Times New Roman" w:hAnsi="Times New Roman"/>
                <w:sz w:val="20"/>
              </w:rPr>
              <w:t>LỚN — quan trọng</w:t>
            </w:r>
          </w:p>
        </w:tc>
      </w:tr>
      <w:tr>
        <w:tc>
          <w:tcPr>
            <w:tcW w:w="3118" w:type="dxa"/>
          </w:tcPr>
          <w:p>
            <w:r>
              <w:rPr>
                <w:rFonts w:ascii="Times New Roman" w:hAnsi="Times New Roman"/>
                <w:sz w:val="20"/>
              </w:rPr>
              <w:t>DMHI thiết kế SAD-specific</w:t>
            </w:r>
          </w:p>
        </w:tc>
        <w:tc>
          <w:tcPr>
            <w:tcW w:w="1417" w:type="dxa"/>
          </w:tcPr>
          <w:p>
            <w:r>
              <w:rPr>
                <w:rFonts w:ascii="Times New Roman" w:hAnsi="Times New Roman"/>
                <w:sz w:val="20"/>
              </w:rPr>
              <w:t>0,878</w:t>
            </w:r>
          </w:p>
        </w:tc>
        <w:tc>
          <w:tcPr>
            <w:tcW w:w="1984" w:type="dxa"/>
          </w:tcPr>
          <w:p>
            <w:r>
              <w:rPr>
                <w:rFonts w:ascii="Times New Roman" w:hAnsi="Times New Roman"/>
                <w:sz w:val="20"/>
              </w:rPr>
              <w:t>0,469–1,278</w:t>
            </w:r>
          </w:p>
        </w:tc>
        <w:tc>
          <w:tcPr>
            <w:tcW w:w="1984" w:type="dxa"/>
          </w:tcPr>
          <w:p>
            <w:r>
              <w:rPr>
                <w:rFonts w:ascii="Times New Roman" w:hAnsi="Times New Roman"/>
                <w:sz w:val="20"/>
              </w:rPr>
              <w:t>LỚN NHẤT</w:t>
            </w:r>
          </w:p>
        </w:tc>
      </w:tr>
      <w:tr>
        <w:tc>
          <w:tcPr>
            <w:tcW w:w="3118" w:type="dxa"/>
          </w:tcPr>
          <w:p>
            <w:r>
              <w:rPr>
                <w:rFonts w:ascii="Times New Roman" w:hAnsi="Times New Roman"/>
                <w:sz w:val="20"/>
              </w:rPr>
              <w:t>DMHI không hướng dẫn</w:t>
            </w:r>
          </w:p>
        </w:tc>
        <w:tc>
          <w:tcPr>
            <w:tcW w:w="1417" w:type="dxa"/>
          </w:tcPr>
          <w:p>
            <w:r>
              <w:rPr>
                <w:rFonts w:ascii="Times New Roman" w:hAnsi="Times New Roman"/>
                <w:sz w:val="20"/>
              </w:rPr>
              <w:t>~ 0,3–0,4</w:t>
            </w:r>
          </w:p>
        </w:tc>
        <w:tc>
          <w:tcPr>
            <w:tcW w:w="1984" w:type="dxa"/>
          </w:tcPr>
          <w:p>
            <w:r>
              <w:rPr>
                <w:rFonts w:ascii="Times New Roman" w:hAnsi="Times New Roman"/>
                <w:sz w:val="20"/>
              </w:rPr>
              <w:t>—</w:t>
            </w:r>
          </w:p>
        </w:tc>
        <w:tc>
          <w:tcPr>
            <w:tcW w:w="1984" w:type="dxa"/>
          </w:tcPr>
          <w:p>
            <w:r>
              <w:rPr>
                <w:rFonts w:ascii="Times New Roman" w:hAnsi="Times New Roman"/>
                <w:sz w:val="20"/>
              </w:rPr>
              <w:t>Nhỏ — kém hiệu quả</w:t>
            </w:r>
          </w:p>
        </w:tc>
      </w:tr>
    </w:tbl>
    <w:p>
      <w:pPr>
        <w:pStyle w:val="Heading2"/>
      </w:pPr>
      <w:r>
        <w:rPr>
          <w:rFonts w:ascii="Times New Roman" w:hAnsi="Times New Roman"/>
          <w:color w:val="000000"/>
        </w:rPr>
        <w:t>Phản biện</w:t>
      </w:r>
    </w:p>
    <w:p>
      <w:pPr>
        <w:jc w:val="both"/>
      </w:pPr>
      <w:r>
        <w:rPr>
          <w:rFonts w:ascii="Times New Roman" w:hAnsi="Times New Roman"/>
          <w:b w:val="0"/>
          <w:i w:val="0"/>
          <w:sz w:val="24"/>
        </w:rPr>
        <w:t>Đây là bằng chứng MẠNH NHẤT về DMHI / iCBT cho SAD ở trẻ và VTN trong toàn bộ tài liệu. JMIR Q1 IF ≈ 7,4. PROSPERO tiền đăng ký. Two-key takeaways có ý nghĩa thực hành rõ ràng: app phải SAD-specific + có hỗ trợ người. Hạn chế: chủ yếu các RCT từ phương Tây + Đông Á phát triển; ít dữ liệu LMIC; định nghĩa "guided" rất khác nhau giữa các nghiên cứu (chat, email, video); chưa rõ liều tối ưu (số tuần, số module).</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Phát triển app iCBT tiếng Việt cho SAD với hỗ trợ chat người, dựa trên hai điều kiện cốt lõi của Walder. So sánh mức độ guided khác nhau (chat thường vs định kỳ vs sự kiện). RCT VN cho HS THCS/THPT với app này.</w:t>
      </w:r>
    </w:p>
    <w:p>
      <w:pPr>
        <w:jc w:val="both"/>
      </w:pPr>
      <w:r>
        <w:rPr>
          <w:rFonts w:ascii="Times New Roman" w:hAnsi="Times New Roman"/>
          <w:b/>
          <w:i w:val="0"/>
          <w:sz w:val="24"/>
        </w:rPr>
        <w:t>Đánh giá chất lượng: ⭐⭐⭐⭐⭐ Rất cao. MA 21 RCT, JMIR Q1, định hướng phát triển app.</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