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QT42 — Editorial UK về can thiệp tại trường cho trầm cảm và lo âu</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"School-based interventions for depression and anxiety in UK" của Brown, J.S.L. &amp; Carter, B. (2025), đăng trên Journal of Mental Health vol. 34(4), tr. 357–361 (Q1, IF ≈ 3,5). DOI 10.1080/09638237.2025.2512332. Đây là editorial từ chuyên gia hàng đầu UK về can thiệp tâm lý cộng đồng — June S.L. Brown.</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Editorial / commentary tổng hợp bằng chứng từ nhiều RCT và mô hình can thiệp tại trường ở Anh quốc. Phân loại 4 mô hình: phổ quát mindfulness, BESST CBT self-referral, MHST (Mental Health Support Teams), và PLACES self-referral. So sánh hiệu quả + bài học triển khai.</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Tổng hợp 4 mô hình can thiệp tại trường UK với các phát hiện then chốt:</w:t>
      </w:r>
    </w:p>
    <w:tbl>
      <w:tblPr>
        <w:tblStyle w:val="TableGrid"/>
        <w:tblW w:type="auto" w:w="0"/>
        <w:jc w:val="center"/>
        <w:tblLook w:firstColumn="1" w:firstRow="1" w:lastColumn="0" w:lastRow="0" w:noHBand="0" w:noVBand="1" w:val="04A0"/>
        <w:tblLayout w:type="fixed"/>
      </w:tblPr>
      <w:tblGrid>
        <w:gridCol w:w="2835"/>
        <w:gridCol w:w="1701"/>
        <w:gridCol w:w="1417"/>
        <w:gridCol w:w="2835"/>
      </w:tblGrid>
      <w:tr>
        <w:tc>
          <w:tcPr>
            <w:tcW w:w="2835" w:type="dxa"/>
            <w:shd w:fill="D9E2F3" w:val="clear"/>
          </w:tcPr>
          <w:p>
            <w:pPr>
              <w:jc w:val="center"/>
            </w:pPr>
            <w:r>
              <w:rPr>
                <w:rFonts w:ascii="Times New Roman" w:hAnsi="Times New Roman"/>
                <w:b/>
                <w:sz w:val="20"/>
              </w:rPr>
              <w:t>Mô hình</w:t>
            </w:r>
          </w:p>
        </w:tc>
        <w:tc>
          <w:tcPr>
            <w:tcW w:w="1701" w:type="dxa"/>
            <w:shd w:fill="D9E2F3" w:val="clear"/>
          </w:tcPr>
          <w:p>
            <w:pPr>
              <w:jc w:val="center"/>
            </w:pPr>
            <w:r>
              <w:rPr>
                <w:rFonts w:ascii="Times New Roman" w:hAnsi="Times New Roman"/>
                <w:b/>
                <w:sz w:val="20"/>
              </w:rPr>
              <w:t>Người cung cấp</w:t>
            </w:r>
          </w:p>
        </w:tc>
        <w:tc>
          <w:tcPr>
            <w:tcW w:w="1417" w:type="dxa"/>
            <w:shd w:fill="D9E2F3" w:val="clear"/>
          </w:tcPr>
          <w:p>
            <w:pPr>
              <w:jc w:val="center"/>
            </w:pPr>
            <w:r>
              <w:rPr>
                <w:rFonts w:ascii="Times New Roman" w:hAnsi="Times New Roman"/>
                <w:b/>
                <w:sz w:val="20"/>
              </w:rPr>
              <w:t>Hiệu quả</w:t>
            </w:r>
          </w:p>
        </w:tc>
        <w:tc>
          <w:tcPr>
            <w:tcW w:w="2835" w:type="dxa"/>
            <w:shd w:fill="D9E2F3" w:val="clear"/>
          </w:tcPr>
          <w:p>
            <w:pPr>
              <w:jc w:val="center"/>
            </w:pPr>
            <w:r>
              <w:rPr>
                <w:rFonts w:ascii="Times New Roman" w:hAnsi="Times New Roman"/>
                <w:b/>
                <w:sz w:val="20"/>
              </w:rPr>
              <w:t>Bằng chứng</w:t>
            </w:r>
          </w:p>
        </w:tc>
      </w:tr>
      <w:tr>
        <w:tc>
          <w:tcPr>
            <w:tcW w:w="2835" w:type="dxa"/>
          </w:tcPr>
          <w:p>
            <w:r>
              <w:rPr>
                <w:rFonts w:ascii="Times New Roman" w:hAnsi="Times New Roman"/>
                <w:sz w:val="20"/>
              </w:rPr>
              <w:t>Mindfulness phổ quát</w:t>
            </w:r>
          </w:p>
        </w:tc>
        <w:tc>
          <w:tcPr>
            <w:tcW w:w="1701" w:type="dxa"/>
          </w:tcPr>
          <w:p>
            <w:r>
              <w:rPr>
                <w:rFonts w:ascii="Times New Roman" w:hAnsi="Times New Roman"/>
                <w:sz w:val="20"/>
              </w:rPr>
              <w:t>Giáo viên</w:t>
            </w:r>
          </w:p>
        </w:tc>
        <w:tc>
          <w:tcPr>
            <w:tcW w:w="1417" w:type="dxa"/>
          </w:tcPr>
          <w:p>
            <w:r>
              <w:rPr>
                <w:rFonts w:ascii="Times New Roman" w:hAnsi="Times New Roman"/>
                <w:sz w:val="20"/>
              </w:rPr>
              <w:t>THẤT BẠI</w:t>
            </w:r>
          </w:p>
        </w:tc>
        <w:tc>
          <w:tcPr>
            <w:tcW w:w="2835" w:type="dxa"/>
          </w:tcPr>
          <w:p>
            <w:r>
              <w:rPr>
                <w:rFonts w:ascii="Times New Roman" w:hAnsi="Times New Roman"/>
                <w:sz w:val="20"/>
              </w:rPr>
              <w:t>8.376 HS / 85 trường (Kuyken 2022)</w:t>
            </w:r>
          </w:p>
        </w:tc>
      </w:tr>
      <w:tr>
        <w:tc>
          <w:tcPr>
            <w:tcW w:w="2835" w:type="dxa"/>
          </w:tcPr>
          <w:p>
            <w:r>
              <w:rPr>
                <w:rFonts w:ascii="Times New Roman" w:hAnsi="Times New Roman"/>
                <w:sz w:val="20"/>
              </w:rPr>
              <w:t>BESST (CBT self-referral)</w:t>
            </w:r>
          </w:p>
        </w:tc>
        <w:tc>
          <w:tcPr>
            <w:tcW w:w="1701" w:type="dxa"/>
          </w:tcPr>
          <w:p>
            <w:r>
              <w:rPr>
                <w:rFonts w:ascii="Times New Roman" w:hAnsi="Times New Roman"/>
                <w:sz w:val="20"/>
              </w:rPr>
              <w:t>Chuyên gia tâm lý</w:t>
            </w:r>
          </w:p>
        </w:tc>
        <w:tc>
          <w:tcPr>
            <w:tcW w:w="1417" w:type="dxa"/>
          </w:tcPr>
          <w:p>
            <w:r>
              <w:rPr>
                <w:rFonts w:ascii="Times New Roman" w:hAnsi="Times New Roman"/>
                <w:sz w:val="20"/>
              </w:rPr>
              <w:t>DƯƠNG TÍNH</w:t>
            </w:r>
          </w:p>
        </w:tc>
        <w:tc>
          <w:tcPr>
            <w:tcW w:w="2835" w:type="dxa"/>
          </w:tcPr>
          <w:p>
            <w:r>
              <w:rPr>
                <w:rFonts w:ascii="Times New Roman" w:hAnsi="Times New Roman"/>
                <w:sz w:val="20"/>
              </w:rPr>
              <w:t>900 HS / 57 trường (Brown 2024)</w:t>
            </w:r>
          </w:p>
        </w:tc>
      </w:tr>
      <w:tr>
        <w:tc>
          <w:tcPr>
            <w:tcW w:w="2835" w:type="dxa"/>
          </w:tcPr>
          <w:p>
            <w:r>
              <w:rPr>
                <w:rFonts w:ascii="Times New Roman" w:hAnsi="Times New Roman"/>
                <w:sz w:val="20"/>
              </w:rPr>
              <w:t>MHST (Mental Health Support Team)</w:t>
            </w:r>
          </w:p>
        </w:tc>
        <w:tc>
          <w:tcPr>
            <w:tcW w:w="1701" w:type="dxa"/>
          </w:tcPr>
          <w:p>
            <w:r>
              <w:rPr>
                <w:rFonts w:ascii="Times New Roman" w:hAnsi="Times New Roman"/>
                <w:sz w:val="20"/>
              </w:rPr>
              <w:t>Thạc sĩ trị liệu</w:t>
            </w:r>
          </w:p>
        </w:tc>
        <w:tc>
          <w:tcPr>
            <w:tcW w:w="1417" w:type="dxa"/>
          </w:tcPr>
          <w:p>
            <w:r>
              <w:rPr>
                <w:rFonts w:ascii="Times New Roman" w:hAnsi="Times New Roman"/>
                <w:sz w:val="20"/>
              </w:rPr>
              <w:t>HỨA HẸN</w:t>
            </w:r>
          </w:p>
        </w:tc>
        <w:tc>
          <w:tcPr>
            <w:tcW w:w="2835" w:type="dxa"/>
          </w:tcPr>
          <w:p>
            <w:r>
              <w:rPr>
                <w:rFonts w:ascii="Times New Roman" w:hAnsi="Times New Roman"/>
                <w:sz w:val="20"/>
              </w:rPr>
              <w:t>Mới triển khai NHS UK</w:t>
            </w:r>
          </w:p>
        </w:tc>
      </w:tr>
      <w:tr>
        <w:tc>
          <w:tcPr>
            <w:tcW w:w="2835" w:type="dxa"/>
          </w:tcPr>
          <w:p>
            <w:r>
              <w:rPr>
                <w:rFonts w:ascii="Times New Roman" w:hAnsi="Times New Roman"/>
                <w:sz w:val="20"/>
              </w:rPr>
              <w:t>PLACES (self-referral)</w:t>
            </w:r>
          </w:p>
        </w:tc>
        <w:tc>
          <w:tcPr>
            <w:tcW w:w="1701" w:type="dxa"/>
          </w:tcPr>
          <w:p>
            <w:r>
              <w:rPr>
                <w:rFonts w:ascii="Times New Roman" w:hAnsi="Times New Roman"/>
                <w:sz w:val="20"/>
              </w:rPr>
              <w:t>Đa cấp</w:t>
            </w:r>
          </w:p>
        </w:tc>
        <w:tc>
          <w:tcPr>
            <w:tcW w:w="1417" w:type="dxa"/>
          </w:tcPr>
          <w:p>
            <w:r>
              <w:rPr>
                <w:rFonts w:ascii="Times New Roman" w:hAnsi="Times New Roman"/>
                <w:sz w:val="20"/>
              </w:rPr>
              <w:t>HỨA HẸN</w:t>
            </w:r>
          </w:p>
        </w:tc>
        <w:tc>
          <w:tcPr>
            <w:tcW w:w="2835" w:type="dxa"/>
          </w:tcPr>
          <w:p>
            <w:r>
              <w:rPr>
                <w:rFonts w:ascii="Times New Roman" w:hAnsi="Times New Roman"/>
                <w:sz w:val="20"/>
              </w:rPr>
              <w:t>Dùng từ thường ngày, giảm kỳ thị</w:t>
            </w:r>
          </w:p>
        </w:tc>
      </w:tr>
    </w:tbl>
    <w:p>
      <w:pPr>
        <w:jc w:val="both"/>
      </w:pPr>
      <w:r>
        <w:rPr>
          <w:rFonts w:ascii="Times New Roman" w:hAnsi="Times New Roman"/>
          <w:b w:val="0"/>
          <w:i w:val="0"/>
          <w:sz w:val="24"/>
        </w:rPr>
        <w:t>Năm bài học từ Editorial: (1) Universal MINDFULNESS thất bại do engagement thấp ở HS; (2) TARGETED CBT (HS có triệu chứng tự đăng ký) thành công; (3) Chuyên gia lâm sàng &gt; GV về hiệu quả, nhưng cả hai đều khả thi; (4) Co-design (cho HS tham gia thiết kế) tăng engagement; (5) Ngôn ngữ THƯỜNG NGÀY ("căng thẳng" thay "trầm cảm") giảm kỳ thị.</w:t>
      </w:r>
    </w:p>
    <w:p>
      <w:pPr>
        <w:pStyle w:val="Heading2"/>
      </w:pPr>
      <w:r>
        <w:rPr>
          <w:rFonts w:ascii="Times New Roman" w:hAnsi="Times New Roman"/>
          <w:color w:val="000000"/>
        </w:rPr>
        <w:t>Phản biện</w:t>
      </w:r>
    </w:p>
    <w:p>
      <w:pPr>
        <w:jc w:val="both"/>
      </w:pPr>
      <w:r>
        <w:rPr>
          <w:rFonts w:ascii="Times New Roman" w:hAnsi="Times New Roman"/>
          <w:b w:val="0"/>
          <w:i w:val="0"/>
          <w:sz w:val="24"/>
        </w:rPr>
        <w:t>Editorial — không phải SR/MA gốc. Ý kiến chuyên gia + tổng hợp bằng chứng. Tuy nhiên cung cấp khung phân loại rất hữu ích. Cảnh báo về universal interventions là QUAN TRỌNG cho thiết kế đề cương Việt Nam. Phù hợp với Zhang, Liang &amp; Kang 2026 (Bayesian MA — universal CBT hiệu ứng nhỏ). Hạn chế: chỉ UK (NHS context), khác bối cảnh LMIC.</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Áp dụng mô hình BESST (targeted + self-referral) cho VN — RCT thử nghiệm. Adapt PLACES language giảm kỳ thị tiếng Việt. So sánh chuyên gia vs GV cung cấp CBT trong bối cảnh VN.</w:t>
      </w:r>
    </w:p>
    <w:p>
      <w:pPr>
        <w:jc w:val="both"/>
      </w:pPr>
      <w:r>
        <w:rPr>
          <w:rFonts w:ascii="Times New Roman" w:hAnsi="Times New Roman"/>
          <w:b/>
          <w:i w:val="0"/>
          <w:sz w:val="24"/>
        </w:rPr>
        <w:t>Đánh giá chất lượng: ⭐⭐⭐⭐ Cao. Editorial Q1, khung phân loại + bài học rõ ràng cho thiết kế.</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