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QT44 — SR + MA can thiệp resilience tại trường</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"School-based interventions for resilience in children and adolescents: a systematic review and meta-analysis of randomized controlled trials" của Chenyi Cai, Zhengyang Mei, Zirui Wang, Shi Luo (2025), đăng trên Frontiers in Psychiatry vol. 16, article 1594658, tr. 1–15. DOI 10.3389/fpsyt.2025.1594658. Q1, IF ≈ 4,7. Open Access. Đơn vị: School of Physical Education, Southwest University, Chongqing, China (tác giả chính Chenyi Cai). Tổng quan hệ thống và phân tích tổng hợp các RCT về can thiệp khả năng phục hồi (resilience) tại trường cho trẻ em + vị thành niên. LƯU Ý: tác giả chính là Cai (không phải Cao) theo Pinyin của 蔡 (họ Cai).</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Tìm kiếm hệ thống các RCT trên PubMed, Web of Science, APA PsycINFO, Google Scholar về can thiệp resilience tại trường. Đánh giá chất lượng bằng Cochrane Risk of Bias tool (RoB 2) cho RCT. Random-effects meta-analysis. Sử dụng Standardized Mean Difference (SMD; Cohen d) với KTC 95 % để tổng hợp hiệu ứng.</w:t>
      </w:r>
    </w:p>
    <w:p>
      <w:pPr>
        <w:jc w:val="both"/>
      </w:pPr>
      <w:r>
        <w:rPr>
          <w:rFonts w:ascii="Times New Roman" w:hAnsi="Times New Roman"/>
          <w:b w:val="0"/>
          <w:i w:val="0"/>
          <w:sz w:val="24"/>
        </w:rPr>
        <w:t>Resilience = khả năng thích ứng tốt trước nghịch cảnh, căng thẳng hoặc sang chấn. Khác CBT (giảm triệu chứng) — tăng yếu tố BẢO VỆ: tự trọng, kỹ năng ứng phó, kết nối xã hội, lạc quan.</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Các nghiên cứu được thực hiện tại nhiều quốc gia: Mỹ (n = 10), Trung Quốc (n = 9), Úc (n = 4), Pakistan (n = 2), Ấn Độ (n = 2) và các nước khác — bằng chứng từ nhiều văn hoá khác nhau.</w:t>
      </w:r>
    </w:p>
    <w:p>
      <w:pPr>
        <w:jc w:val="both"/>
      </w:pPr>
      <w:r>
        <w:rPr>
          <w:rFonts w:ascii="Times New Roman" w:hAnsi="Times New Roman"/>
          <w:b w:val="0"/>
          <w:i w:val="0"/>
          <w:sz w:val="24"/>
        </w:rPr>
        <w:t>Can thiệp resilience tại trường CÓ HIỆU QUẢ tăng resilience và giảm triệu chứng SKTT ở trẻ em/VTN. Tuy nhiên, kích thước hiệu ứng NHỎ–TRUNG BÌNH và heterogeneity CAO. Nghĩa là: hiệu quả tồn tại nhưng không lớn, và có sự khác biệt đáng kể giữa các nghiên cứu (do khác biệt thiết kế, mẫu, văn hoá).</w:t>
      </w:r>
    </w:p>
    <w:p>
      <w:pPr>
        <w:pStyle w:val="Heading2"/>
      </w:pPr>
      <w:r>
        <w:rPr>
          <w:rFonts w:ascii="Times New Roman" w:hAnsi="Times New Roman"/>
          <w:color w:val="000000"/>
        </w:rPr>
        <w:t>Phản biện</w:t>
      </w:r>
    </w:p>
    <w:p>
      <w:pPr>
        <w:jc w:val="both"/>
      </w:pPr>
      <w:r>
        <w:rPr>
          <w:rFonts w:ascii="Times New Roman" w:hAnsi="Times New Roman"/>
          <w:b w:val="0"/>
          <w:i w:val="0"/>
          <w:sz w:val="24"/>
        </w:rPr>
        <w:t>Frontiers in Psychiatry Q1 IF ≈ 4,7, Open Access PMC. SR + MA RCTs — bằng chứng tốt. Resilience là yếu tố BẢO VỆ — bổ sung cho CBT, không thay thế. Phù hợp với Trần Thảo Vi 2025 (lạc quan trung gian, β = −0,24) và Ireland MyWorld 2024 (resilience + tự trọng quan trọng tăng theo thời gian). Đa dạng địa lý (Mỹ, Trung, Úc, Pakistan, Ấn) bao phủ nhiều văn hoá — có 9 RCT từ Trung Quốc nên bối cảnh Á Đông khá đầy đủ. Hạn chế: hiệu lực nhỏ–TB; heterogeneity cao; chưa có NC từ Việt Nam hoặc ĐNA.</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Phát triển module resilience tích hợp vào can thiệp CBT trường VN. RCT VN cho VTN có yếu tố nguy cơ cao. Thiết kế đo cả triệu chứng (CBT) lẫn nguồn lực bảo vệ (resilience).</w:t>
      </w:r>
    </w:p>
    <w:p>
      <w:pPr>
        <w:jc w:val="both"/>
      </w:pPr>
      <w:r>
        <w:rPr>
          <w:rFonts w:ascii="Times New Roman" w:hAnsi="Times New Roman"/>
          <w:b/>
          <w:i w:val="0"/>
          <w:sz w:val="24"/>
        </w:rPr>
        <w:t>Đánh giá chất lượng: ⭐⭐⭐⭐ Cao. SR+MA Q1, định hướng module bổ trợ.</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