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QT46 — Tổng quan hệ thống can thiệp căng thẳng học tập ở HS trung học</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"Academic Stress Interventions in High Schools: A Systematic Literature Review" của Jagiello, T., Belcher, J., Neelakandan, A., Boyd, K. &amp; Wuthrich, V.M. (2025), đăng trên Child Psychiatry and Human Development vol. 56, tr. 1836–1869 (Q1, IF ≈ 3,3) — Springer. DOI 10.1007/s10578-024-01667-5. Online 4/3/2024, in print 2025. Tổng quan hệ thống các chương trình can thiệp giảm/phòng ngừa CĂNG THẲNG HỌC TẬP riêng ở HS trung học trên toàn cầu. Bài dài 34 trang — là tổng quan hệ thống ĐẦU TIÊN tập trung riêng vào chương trình trường học cho stress học tập.</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Tìm kiếm hệ thống các nghiên cứu đánh giá hiệu quả chương trình trường học trong giảm hoặc phòng ngừa stress học tập ở HS trung học. Tiêu chí lựa chọn nghiêm ngặt. Phân loại theo (a) loại can thiệp (CBT, mindfulness, thư giãn, kỹ năng quản lý, yoga, ...); (b) hình thức (universal phổ quát vs targeted có mục tiêu); (c) người cung cấp (chuyên gia vs giáo viên). Đánh giá chất lượng phương pháp.</w:t>
      </w:r>
    </w:p>
    <w:p>
      <w:pPr>
        <w:pStyle w:val="Heading2"/>
      </w:pPr>
      <w:r>
        <w:rPr>
          <w:rFonts w:ascii="Times New Roman" w:hAnsi="Times New Roman"/>
          <w:color w:val="000000"/>
        </w:rPr>
        <w:t>Kết quả nghiên cứu</w:t>
      </w:r>
    </w:p>
    <w:p>
      <w:pPr>
        <w:jc w:val="both"/>
      </w:pPr>
      <w:r>
        <w:rPr>
          <w:rFonts w:ascii="Times New Roman" w:hAnsi="Times New Roman"/>
          <w:b/>
          <w:i w:val="0"/>
          <w:sz w:val="24"/>
        </w:rPr>
        <w:t>Tìm thấy 31 nghiên cứu đủ tiêu chuẩn từ 13 quốc gia. Phát hiện chính:</w:t>
      </w:r>
    </w:p>
    <w:p>
      <w:pPr>
        <w:jc w:val="both"/>
      </w:pPr>
      <w:r>
        <w:rPr>
          <w:rFonts w:ascii="Times New Roman" w:hAnsi="Times New Roman"/>
          <w:b w:val="0"/>
          <w:i w:val="0"/>
          <w:sz w:val="24"/>
        </w:rPr>
        <w:t>• Chất lượng phương pháp của đa số nghiên cứu KÉM (poor quality) — nhiều NC sử dụng nhóm đối chứng KHÔNG can thiệp.</w:t>
      </w:r>
    </w:p>
    <w:p>
      <w:pPr>
        <w:jc w:val="both"/>
      </w:pPr>
      <w:r>
        <w:rPr>
          <w:rFonts w:ascii="Times New Roman" w:hAnsi="Times New Roman"/>
          <w:b w:val="0"/>
          <w:i w:val="0"/>
          <w:sz w:val="24"/>
        </w:rPr>
        <w:t>• Bằng chứng MẠNH NHẤT cho các chương trình dựa trên CBT — phù hợp với lý thuyết về căng thẳng học tập.</w:t>
      </w:r>
    </w:p>
    <w:p>
      <w:pPr>
        <w:jc w:val="both"/>
      </w:pPr>
      <w:r>
        <w:rPr>
          <w:rFonts w:ascii="Times New Roman" w:hAnsi="Times New Roman"/>
          <w:b w:val="0"/>
          <w:i w:val="0"/>
          <w:sz w:val="24"/>
        </w:rPr>
        <w:t>• CẢ 2 mô hình universal VÀ targeted đều có thể có lợi — không có mô hình nào vượt trội rõ ràng.</w:t>
      </w:r>
    </w:p>
    <w:p>
      <w:pPr>
        <w:jc w:val="both"/>
      </w:pPr>
      <w:r>
        <w:rPr>
          <w:rFonts w:ascii="Times New Roman" w:hAnsi="Times New Roman"/>
          <w:b w:val="0"/>
          <w:i w:val="0"/>
          <w:sz w:val="24"/>
        </w:rPr>
        <w:t>• Stress học tập = yếu tố MẠNH NHẤT ảnh hưởng SKTT VTN châu Á — đã được xác nhận bởi VN21 Trần Thảo Vi (β = 4,73 cho học thêm), Wen QT08 (OR = 11,58 cho áp lực HT), Norway QT21, UNICEF VN22 (50 % HS học thêm &gt; 3 h/tuần, 15 % &gt; 9 h/tuần).</w:t>
      </w:r>
    </w:p>
    <w:tbl>
      <w:tblPr>
        <w:tblStyle w:val="TableGrid"/>
        <w:tblW w:type="auto" w:w="0"/>
        <w:jc w:val="center"/>
        <w:tblLook w:firstColumn="1" w:firstRow="1" w:lastColumn="0" w:lastRow="0" w:noHBand="0" w:noVBand="1" w:val="04A0"/>
        <w:tblLayout w:type="fixed"/>
      </w:tblPr>
      <w:tblGrid>
        <w:gridCol w:w="2835"/>
        <w:gridCol w:w="2551"/>
        <w:gridCol w:w="3402"/>
      </w:tblGrid>
      <w:tr>
        <w:tc>
          <w:tcPr>
            <w:tcW w:w="2835" w:type="dxa"/>
            <w:shd w:fill="D9E2F3" w:val="clear"/>
          </w:tcPr>
          <w:p>
            <w:pPr>
              <w:jc w:val="center"/>
            </w:pPr>
            <w:r>
              <w:rPr>
                <w:rFonts w:ascii="Times New Roman" w:hAnsi="Times New Roman"/>
                <w:b/>
                <w:sz w:val="20"/>
              </w:rPr>
              <w:t>Loại can thiệp</w:t>
            </w:r>
          </w:p>
        </w:tc>
        <w:tc>
          <w:tcPr>
            <w:tcW w:w="2551" w:type="dxa"/>
            <w:shd w:fill="D9E2F3" w:val="clear"/>
          </w:tcPr>
          <w:p>
            <w:pPr>
              <w:jc w:val="center"/>
            </w:pPr>
            <w:r>
              <w:rPr>
                <w:rFonts w:ascii="Times New Roman" w:hAnsi="Times New Roman"/>
                <w:b/>
                <w:sz w:val="20"/>
              </w:rPr>
              <w:t>Hiệu quả</w:t>
            </w:r>
          </w:p>
        </w:tc>
        <w:tc>
          <w:tcPr>
            <w:tcW w:w="3402" w:type="dxa"/>
            <w:shd w:fill="D9E2F3" w:val="clear"/>
          </w:tcPr>
          <w:p>
            <w:pPr>
              <w:jc w:val="center"/>
            </w:pPr>
            <w:r>
              <w:rPr>
                <w:rFonts w:ascii="Times New Roman" w:hAnsi="Times New Roman"/>
                <w:b/>
                <w:sz w:val="20"/>
              </w:rPr>
              <w:t>Phù hợp VN</w:t>
            </w:r>
          </w:p>
        </w:tc>
      </w:tr>
      <w:tr>
        <w:tc>
          <w:tcPr>
            <w:tcW w:w="2835" w:type="dxa"/>
          </w:tcPr>
          <w:p>
            <w:r>
              <w:rPr>
                <w:rFonts w:ascii="Times New Roman" w:hAnsi="Times New Roman"/>
                <w:sz w:val="20"/>
              </w:rPr>
              <w:t>CBT cho stress HT</w:t>
            </w:r>
          </w:p>
        </w:tc>
        <w:tc>
          <w:tcPr>
            <w:tcW w:w="2551" w:type="dxa"/>
          </w:tcPr>
          <w:p>
            <w:r>
              <w:rPr>
                <w:rFonts w:ascii="Times New Roman" w:hAnsi="Times New Roman"/>
                <w:sz w:val="20"/>
              </w:rPr>
              <w:t>BẰNG CHỨNG MẠNH NHẤT</w:t>
            </w:r>
          </w:p>
        </w:tc>
        <w:tc>
          <w:tcPr>
            <w:tcW w:w="3402" w:type="dxa"/>
          </w:tcPr>
          <w:p>
            <w:r>
              <w:rPr>
                <w:rFonts w:ascii="Times New Roman" w:hAnsi="Times New Roman"/>
                <w:sz w:val="20"/>
              </w:rPr>
              <w:t>Cần thích ứng VH</w:t>
            </w:r>
          </w:p>
        </w:tc>
      </w:tr>
      <w:tr>
        <w:tc>
          <w:tcPr>
            <w:tcW w:w="2835" w:type="dxa"/>
          </w:tcPr>
          <w:p>
            <w:r>
              <w:rPr>
                <w:rFonts w:ascii="Times New Roman" w:hAnsi="Times New Roman"/>
                <w:sz w:val="20"/>
              </w:rPr>
              <w:t>Mindfulness/thiền</w:t>
            </w:r>
          </w:p>
        </w:tc>
        <w:tc>
          <w:tcPr>
            <w:tcW w:w="2551" w:type="dxa"/>
          </w:tcPr>
          <w:p>
            <w:r>
              <w:rPr>
                <w:rFonts w:ascii="Times New Roman" w:hAnsi="Times New Roman"/>
                <w:sz w:val="20"/>
              </w:rPr>
              <w:t>TB — kết quả lẫn lộn</w:t>
            </w:r>
          </w:p>
        </w:tc>
        <w:tc>
          <w:tcPr>
            <w:tcW w:w="3402" w:type="dxa"/>
          </w:tcPr>
          <w:p>
            <w:r>
              <w:rPr>
                <w:rFonts w:ascii="Times New Roman" w:hAnsi="Times New Roman"/>
                <w:sz w:val="20"/>
              </w:rPr>
              <w:t>UK 8.376 HS thất bại</w:t>
            </w:r>
          </w:p>
        </w:tc>
      </w:tr>
      <w:tr>
        <w:tc>
          <w:tcPr>
            <w:tcW w:w="2835" w:type="dxa"/>
          </w:tcPr>
          <w:p>
            <w:r>
              <w:rPr>
                <w:rFonts w:ascii="Times New Roman" w:hAnsi="Times New Roman"/>
                <w:sz w:val="20"/>
              </w:rPr>
              <w:t>Quản lý thời gian</w:t>
            </w:r>
          </w:p>
        </w:tc>
        <w:tc>
          <w:tcPr>
            <w:tcW w:w="2551" w:type="dxa"/>
          </w:tcPr>
          <w:p>
            <w:r>
              <w:rPr>
                <w:rFonts w:ascii="Times New Roman" w:hAnsi="Times New Roman"/>
                <w:sz w:val="20"/>
              </w:rPr>
              <w:t>Hứa hẹn</w:t>
            </w:r>
          </w:p>
        </w:tc>
        <w:tc>
          <w:tcPr>
            <w:tcW w:w="3402" w:type="dxa"/>
          </w:tcPr>
          <w:p>
            <w:r>
              <w:rPr>
                <w:rFonts w:ascii="Times New Roman" w:hAnsi="Times New Roman"/>
                <w:sz w:val="20"/>
              </w:rPr>
              <w:t>Rất phù hợp VN</w:t>
            </w:r>
          </w:p>
        </w:tc>
      </w:tr>
      <w:tr>
        <w:tc>
          <w:tcPr>
            <w:tcW w:w="2835" w:type="dxa"/>
          </w:tcPr>
          <w:p>
            <w:r>
              <w:rPr>
                <w:rFonts w:ascii="Times New Roman" w:hAnsi="Times New Roman"/>
                <w:sz w:val="20"/>
              </w:rPr>
              <w:t>Thư giãn cơ</w:t>
            </w:r>
          </w:p>
        </w:tc>
        <w:tc>
          <w:tcPr>
            <w:tcW w:w="2551" w:type="dxa"/>
          </w:tcPr>
          <w:p>
            <w:r>
              <w:rPr>
                <w:rFonts w:ascii="Times New Roman" w:hAnsi="Times New Roman"/>
                <w:sz w:val="20"/>
              </w:rPr>
              <w:t>TB</w:t>
            </w:r>
          </w:p>
        </w:tc>
        <w:tc>
          <w:tcPr>
            <w:tcW w:w="3402" w:type="dxa"/>
          </w:tcPr>
          <w:p>
            <w:r>
              <w:rPr>
                <w:rFonts w:ascii="Times New Roman" w:hAnsi="Times New Roman"/>
                <w:sz w:val="20"/>
              </w:rPr>
              <w:t>Dễ triển khai</w:t>
            </w:r>
          </w:p>
        </w:tc>
      </w:tr>
      <w:tr>
        <w:tc>
          <w:tcPr>
            <w:tcW w:w="2835" w:type="dxa"/>
          </w:tcPr>
          <w:p>
            <w:r>
              <w:rPr>
                <w:rFonts w:ascii="Times New Roman" w:hAnsi="Times New Roman"/>
                <w:sz w:val="20"/>
              </w:rPr>
              <w:t>Yoga/hoạt động thể chất</w:t>
            </w:r>
          </w:p>
        </w:tc>
        <w:tc>
          <w:tcPr>
            <w:tcW w:w="2551" w:type="dxa"/>
          </w:tcPr>
          <w:p>
            <w:r>
              <w:rPr>
                <w:rFonts w:ascii="Times New Roman" w:hAnsi="Times New Roman"/>
                <w:sz w:val="20"/>
              </w:rPr>
              <w:t>Hứa hẹn</w:t>
            </w:r>
          </w:p>
        </w:tc>
        <w:tc>
          <w:tcPr>
            <w:tcW w:w="3402" w:type="dxa"/>
          </w:tcPr>
          <w:p>
            <w:r>
              <w:rPr>
                <w:rFonts w:ascii="Times New Roman" w:hAnsi="Times New Roman"/>
                <w:sz w:val="20"/>
              </w:rPr>
              <w:t>Phù hợp PE</w:t>
            </w:r>
          </w:p>
        </w:tc>
      </w:tr>
      <w:tr>
        <w:tc>
          <w:tcPr>
            <w:tcW w:w="2835" w:type="dxa"/>
          </w:tcPr>
          <w:p>
            <w:r>
              <w:rPr>
                <w:rFonts w:ascii="Times New Roman" w:hAnsi="Times New Roman"/>
                <w:sz w:val="20"/>
              </w:rPr>
              <w:t>Kỹ năng ứng phó</w:t>
            </w:r>
          </w:p>
        </w:tc>
        <w:tc>
          <w:tcPr>
            <w:tcW w:w="2551" w:type="dxa"/>
          </w:tcPr>
          <w:p>
            <w:r>
              <w:rPr>
                <w:rFonts w:ascii="Times New Roman" w:hAnsi="Times New Roman"/>
                <w:sz w:val="20"/>
              </w:rPr>
              <w:t>TB–Khá</w:t>
            </w:r>
          </w:p>
        </w:tc>
        <w:tc>
          <w:tcPr>
            <w:tcW w:w="3402" w:type="dxa"/>
          </w:tcPr>
          <w:p>
            <w:r>
              <w:rPr>
                <w:rFonts w:ascii="Times New Roman" w:hAnsi="Times New Roman"/>
                <w:sz w:val="20"/>
              </w:rPr>
              <w:t>Kết hợp CBT</w:t>
            </w:r>
          </w:p>
        </w:tc>
      </w:tr>
    </w:tbl>
    <w:p>
      <w:pPr>
        <w:pStyle w:val="Heading2"/>
      </w:pPr>
      <w:r>
        <w:rPr>
          <w:rFonts w:ascii="Times New Roman" w:hAnsi="Times New Roman"/>
          <w:color w:val="000000"/>
        </w:rPr>
        <w:t>Phản biện</w:t>
      </w:r>
    </w:p>
    <w:p>
      <w:pPr>
        <w:jc w:val="both"/>
      </w:pPr>
      <w:r>
        <w:rPr>
          <w:rFonts w:ascii="Times New Roman" w:hAnsi="Times New Roman"/>
          <w:b w:val="0"/>
          <w:i w:val="0"/>
          <w:sz w:val="24"/>
        </w:rPr>
        <w:t>Child Psychiatry and Human Development Q1 IF ≈ 3,3, Springer. 34 trang — rất toàn diện. Tổng quan ĐẦU TIÊN về can thiệp stress học tập riêng ở HS trung học (theo lời tuyên bố của tác giả). 31 NC từ 13 quốc gia — phạm vi địa lý tốt. CBT có bằng chứng mạnh nhất — phù hợp QT29 BMC NMA. Hạn chế: chất lượng phương pháp của đa số NC được đánh giá là KÉM; nhiều NC dùng nhóm chứng không can thiệp; không có meta-analysis định lượng; chưa rõ đại diện LMIC/châu Á.</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RCT CHẤT LƯỢNG CAO can thiệp stress HT riêng tại VN — CBT + quản lý thời gian + giảm tải học thêm. So sánh trong bối cảnh học sinh VN (sức ép đa chiều: cha mẹ, thi đại học, học thêm). Đánh giá hiệu quả dài hạn 1–2 năm. Sử dụng nhóm đối chứng active (không phải waiting list thuần) để cải thiện chất lượng bằng chứng.</w:t>
      </w:r>
    </w:p>
    <w:p>
      <w:pPr>
        <w:jc w:val="both"/>
      </w:pPr>
      <w:r>
        <w:rPr>
          <w:rFonts w:ascii="Times New Roman" w:hAnsi="Times New Roman"/>
          <w:b/>
          <w:i w:val="0"/>
          <w:sz w:val="24"/>
        </w:rPr>
        <w:t>Đánh giá chất lượng: ⭐⭐⭐⭐ Cao. SLR đầu tiên, Q1 Springer, 31 NC từ 13 quốc gia, rất phù hợp đề tài.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