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QT50 — Tổng quan hệ thống Mobile CBT cho trẻ em và VTN (abstract-only)</w:t>
      </w:r>
    </w:p>
    <w:p>
      <w:pPr>
        <w:jc w:val="both"/>
      </w:pPr>
      <w:r>
        <w:rPr>
          <w:rFonts w:ascii="Times New Roman" w:hAnsi="Times New Roman"/>
          <w:b/>
          <w:i/>
          <w:sz w:val="24"/>
        </w:rPr>
        <w:t>⚠ LƯU Ý: Bản tóm tắt này dựa trên ABSTRACT từ Crossref — chưa có toàn văn (paywall Wiley).</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"Effectiveness of Mobile-Based Cognitive Behavioural Therapy for Depression and Anxiety in Children and Young People: A Systematic Review of Randomized Controlled Trials" của Qiaochu, Z. &amp; Wang, Y. (2025), đăng trên Clinical Psychology &amp; Psychotherapy vol. 32(6), e70173 (Q1) — Wiley. DOI 10.1002/cpp.70173. Tổng quan 9 RCT, N = 2.479 trẻ em + người trẻ. Đánh giá hiệu quả CBT cung cấp qua MOBILE APP (smartphone).</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Tổng quan hệ thống các RCT về Mobile CBT cho trẻ em + người trẻ. 9 RCT đáp ứng tiêu chí được đưa vào tổng hợp. Phân loại theo outcomes: trầm cảm vs lo âu.</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PHÁT HIỆN QUAN TRỌNG: 7 trên 8 nghiên cứu (87,5 %) đo TRẦM CẢM cho thấy giảm có ý nghĩa thống kê. NHƯNG chỉ 2 trên 6 nghiên cứu (33,3 %) đo LO ÂU cho thấy hiệu quả có ý nghĩa. Mobile CBT MẠNH cho trầm cảm, YẾU cho lo âu (khi không thiết kế đặc thù).</w:t>
      </w:r>
    </w:p>
    <w:tbl>
      <w:tblPr>
        <w:tblStyle w:val="TableGrid"/>
        <w:tblW w:type="auto" w:w="0"/>
        <w:jc w:val="center"/>
        <w:tblLook w:firstColumn="1" w:firstRow="1" w:lastColumn="0" w:lastRow="0" w:noHBand="0" w:noVBand="1" w:val="04A0"/>
        <w:tblLayout w:type="fixed"/>
      </w:tblPr>
      <w:tblGrid>
        <w:gridCol w:w="2835"/>
        <w:gridCol w:w="2835"/>
        <w:gridCol w:w="3118"/>
      </w:tblGrid>
      <w:tr>
        <w:tc>
          <w:tcPr>
            <w:tcW w:w="2835" w:type="dxa"/>
            <w:shd w:fill="D9E2F3" w:val="clear"/>
          </w:tcPr>
          <w:p>
            <w:pPr>
              <w:jc w:val="center"/>
            </w:pPr>
            <w:r>
              <w:rPr>
                <w:rFonts w:ascii="Times New Roman" w:hAnsi="Times New Roman"/>
                <w:b/>
                <w:sz w:val="20"/>
              </w:rPr>
              <w:t>Outcome</w:t>
            </w:r>
          </w:p>
        </w:tc>
        <w:tc>
          <w:tcPr>
            <w:tcW w:w="2835" w:type="dxa"/>
            <w:shd w:fill="D9E2F3" w:val="clear"/>
          </w:tcPr>
          <w:p>
            <w:pPr>
              <w:jc w:val="center"/>
            </w:pPr>
            <w:r>
              <w:rPr>
                <w:rFonts w:ascii="Times New Roman" w:hAnsi="Times New Roman"/>
                <w:b/>
                <w:sz w:val="20"/>
              </w:rPr>
              <w:t>Tỷ lệ NC dương tính</w:t>
            </w:r>
          </w:p>
        </w:tc>
        <w:tc>
          <w:tcPr>
            <w:tcW w:w="3118" w:type="dxa"/>
            <w:shd w:fill="D9E2F3" w:val="clear"/>
          </w:tcPr>
          <w:p>
            <w:pPr>
              <w:jc w:val="center"/>
            </w:pPr>
            <w:r>
              <w:rPr>
                <w:rFonts w:ascii="Times New Roman" w:hAnsi="Times New Roman"/>
                <w:b/>
                <w:sz w:val="20"/>
              </w:rPr>
              <w:t>Ý nghĩa</w:t>
            </w:r>
          </w:p>
        </w:tc>
      </w:tr>
      <w:tr>
        <w:tc>
          <w:tcPr>
            <w:tcW w:w="2835" w:type="dxa"/>
          </w:tcPr>
          <w:p>
            <w:r>
              <w:rPr>
                <w:rFonts w:ascii="Times New Roman" w:hAnsi="Times New Roman"/>
                <w:sz w:val="20"/>
              </w:rPr>
              <w:t>Trầm cảm</w:t>
            </w:r>
          </w:p>
        </w:tc>
        <w:tc>
          <w:tcPr>
            <w:tcW w:w="2835" w:type="dxa"/>
          </w:tcPr>
          <w:p>
            <w:r>
              <w:rPr>
                <w:rFonts w:ascii="Times New Roman" w:hAnsi="Times New Roman"/>
                <w:sz w:val="20"/>
              </w:rPr>
              <w:t>7/8 (87,5 %)</w:t>
            </w:r>
          </w:p>
        </w:tc>
        <w:tc>
          <w:tcPr>
            <w:tcW w:w="3118" w:type="dxa"/>
          </w:tcPr>
          <w:p>
            <w:r>
              <w:rPr>
                <w:rFonts w:ascii="Times New Roman" w:hAnsi="Times New Roman"/>
                <w:sz w:val="20"/>
              </w:rPr>
              <w:t>Bằng chứng MẠNH</w:t>
            </w:r>
          </w:p>
        </w:tc>
      </w:tr>
      <w:tr>
        <w:tc>
          <w:tcPr>
            <w:tcW w:w="2835" w:type="dxa"/>
          </w:tcPr>
          <w:p>
            <w:r>
              <w:rPr>
                <w:rFonts w:ascii="Times New Roman" w:hAnsi="Times New Roman"/>
                <w:sz w:val="20"/>
              </w:rPr>
              <w:t>Lo âu</w:t>
            </w:r>
          </w:p>
        </w:tc>
        <w:tc>
          <w:tcPr>
            <w:tcW w:w="2835" w:type="dxa"/>
          </w:tcPr>
          <w:p>
            <w:r>
              <w:rPr>
                <w:rFonts w:ascii="Times New Roman" w:hAnsi="Times New Roman"/>
                <w:sz w:val="20"/>
              </w:rPr>
              <w:t>2/6 (33,3 %)</w:t>
            </w:r>
          </w:p>
        </w:tc>
        <w:tc>
          <w:tcPr>
            <w:tcW w:w="3118" w:type="dxa"/>
          </w:tcPr>
          <w:p>
            <w:r>
              <w:rPr>
                <w:rFonts w:ascii="Times New Roman" w:hAnsi="Times New Roman"/>
                <w:sz w:val="20"/>
              </w:rPr>
              <w:t>Bằng chứng YẾU</w:t>
            </w:r>
          </w:p>
        </w:tc>
      </w:tr>
    </w:tbl>
    <w:p>
      <w:pPr>
        <w:pStyle w:val="Heading2"/>
      </w:pPr>
      <w:r>
        <w:rPr>
          <w:rFonts w:ascii="Times New Roman" w:hAnsi="Times New Roman"/>
          <w:color w:val="000000"/>
        </w:rPr>
        <w:t>Phản biện</w:t>
      </w:r>
    </w:p>
    <w:p>
      <w:pPr>
        <w:jc w:val="both"/>
      </w:pPr>
      <w:r>
        <w:rPr>
          <w:rFonts w:ascii="Times New Roman" w:hAnsi="Times New Roman"/>
          <w:b w:val="0"/>
          <w:i w:val="0"/>
          <w:sz w:val="24"/>
        </w:rPr>
        <w:t>9 RCT, N = 2.479 — đủ lớn để rút kết luận. Q1 Wiley. Phát hiện cốt lõi: hiệu quả TRẦM CẢM (7/8) nhưng LO ÂU YẾU (2/6) — Mobile CBT KHÔNG MẠNH cho lo âu khi không thiết kế đặc thù. Mâu thuẫn với Matsumoto Japan iCBT (RCT đa trung tâm dương tính cho SAD) và Walder DMHI MA (g = 0,878 cho SAD-specific). Lý do: các app trong Qiaochu có thể là cho TRẦM CẢM tổng hợp, không SAD-specific. Hạn chế: chưa có toàn văn → không biết app cụ thể, dropout rates, age range chi tiết.</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Tải full PDF để xem app nào hiệu quả. Cho VN: nếu phát triển app tiếng Việt, nên (a) bắt đầu module trầm cảm (bằng chứng mạnh), (b) hoặc làm app dành riêng cho LO ÂU XÃ HỘI có hỗ trợ người (theo Walder).</w:t>
      </w:r>
    </w:p>
    <w:p>
      <w:pPr>
        <w:jc w:val="both"/>
      </w:pPr>
      <w:r>
        <w:rPr>
          <w:rFonts w:ascii="Times New Roman" w:hAnsi="Times New Roman"/>
          <w:b/>
          <w:i w:val="0"/>
          <w:sz w:val="24"/>
        </w:rPr>
        <w:t>Đánh giá chất lượng: ⭐⭐⭐⭐ Cao. SR Q1, kết quả khác biệt depression vs anxiety quan trọng.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