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QT072 — Tóm tắt: Lee và cộng sự (2025) Meta-analysis dọc cyberbullying</w:t>
      </w:r>
    </w:p>
    <w:p>
      <w:r>
        <w:rPr>
          <w:b/>
          <w:sz w:val="24"/>
        </w:rPr>
        <w:t>Tên công trình:</w:t>
        <w:br/>
      </w:r>
      <w:r>
        <w:rPr>
          <w:sz w:val="24"/>
        </w:rPr>
        <w:t>"Cyberbullying Victimization and Mental Health Symptoms Among Children and Adolescents: A Meta-Analysis of Longitudinal Studies" — Jungup Lee, Hoi Shan Cheung, Qiyang Zhang, Rebecca P. Ang (2025), Trauma, Violence, &amp; Abuse, 27(2), 391–406. DOI: 10.1177/15248380241313051. Tạp chí Q1 SAGE.</w:t>
      </w:r>
    </w:p>
    <w:p>
      <w:r>
        <w:rPr>
          <w:b/>
          <w:sz w:val="24"/>
        </w:rPr>
        <w:t>Phương pháp:</w:t>
        <w:br/>
      </w:r>
      <w:r>
        <w:rPr>
          <w:sz w:val="24"/>
        </w:rPr>
        <w:t>META-ANALYSIS DỌC ĐẦU TIÊN về cyberbullying → mental health (các meta-analysis trước chỉ cắt ngang). 27 nghiên cứu thuần tập, N = 27.133 trẻ em + vị thành niên qua 9 quốc gia: Mỹ (12), Trung Quốc (7), Tây Ban Nha (2), Thụy Điển, Hà Lan, Bỉ, Thụy Sĩ, Úc, New Zealand. Random-effects model. Singapore Ministry of Education tài trợ.</w:t>
      </w:r>
    </w:p>
    <w:p>
      <w:r>
        <w:rPr>
          <w:b/>
          <w:sz w:val="24"/>
        </w:rPr>
        <w:t>Kết quả CỐT LÕI:</w:t>
        <w:br/>
      </w:r>
      <w:r>
        <w:rPr>
          <w:sz w:val="24"/>
        </w:rPr>
        <w:t>Cyberbullying → Mental health overall: r = 0,232 (KTC 95% 0,190–0,274); k=27. → Depression r = 0,269 (k=23, KTC 0,211–0,325). → ANXIETY r = 0,229 (k=16, KTC 0,162–0,294). → Loneliness r = 0,170. Tất cả heterogeneity I² = 92,25% (rất cao).</w:t>
      </w:r>
    </w:p>
    <w:p>
      <w:r>
        <w:rPr>
          <w:b/>
          <w:sz w:val="24"/>
        </w:rPr>
        <w:t>Moderator analyses:</w:t>
        <w:br/>
      </w:r>
      <w:r>
        <w:rPr>
          <w:sz w:val="24"/>
        </w:rPr>
        <w:t>Tuổi (β = 0,037, p &lt; 0,001) — tuổi càng cao tác động càng mạnh; Tỷ lệ nữ (β = −0,003, p = 0,006) — nữ % cao hơn → tác động giảm (NGƯỢC giả thuyết); Năm công bố (β = 0,009, p &lt; 0,001) — bài mới hơn có hiệu ứng lớn hơn (cyberbullying ngày càng nghiêm trọng); Văn hóa Tây vs Á: KHÔNG khác biệt; Time interval: KHÔNG khác biệt.</w:t>
      </w:r>
    </w:p>
    <w:p>
      <w:r>
        <w:rPr>
          <w:b/>
          <w:sz w:val="24"/>
        </w:rPr>
        <w:t>Phát hiện ĐẶC BIỆT:</w:t>
        <w:br/>
      </w:r>
      <w:r>
        <w:rPr>
          <w:sz w:val="24"/>
        </w:rPr>
        <w:t>Cyberbullying là vấn đề TOÀN CẦU vượt văn hóa (Western vs Asian KHÔNG khác biệt). Internet "san phẳng" khác biệt văn hóa. Hiệu ứng MẠNH HƠN ở tuổi cao hơn (đỉnh 14-15 tuổi theo Pichel 2021). Hiệu ứng tăng theo năm — phản ánh cyberbullying ngày càng phổ biến.</w:t>
      </w:r>
    </w:p>
    <w:p>
      <w:r>
        <w:rPr>
          <w:b/>
          <w:sz w:val="24"/>
        </w:rPr>
        <w:t>Đánh giá chất lượng:</w:t>
        <w:br/>
      </w:r>
      <w:r>
        <w:rPr>
          <w:sz w:val="24"/>
        </w:rPr>
        <w:t>⭐⭐⭐⭐⭐ Rất cao. Meta-analysis DỌC đầu tiên (chỉ longitudinal, KHÔNG cắt ngang). Trauma, Violence, &amp; Abuse Q1 SAGE. PRISMA. N=27.133 lớn. Đáng tin cậy cao.</w:t>
      </w:r>
    </w:p>
    <w:p>
      <w:r>
        <w:rPr>
          <w:b/>
          <w:sz w:val="24"/>
        </w:rPr>
        <w:t>Ý nghĩa cho VN:</w:t>
        <w:br/>
      </w:r>
      <w:r>
        <w:rPr>
          <w:sz w:val="24"/>
        </w:rPr>
        <w:t>Bổ sung cho Moore 2017 (QT070) bullying truyền thống. Cyberbullying r = 0,229 cho anxiety NHẸ HƠN traditional bullying (Moore OR=1,77). Tham chiếu cho phản biện về NĐT + bắt nạt online — đặc biệt khi luận án CTH chỉ đo "bắt nạt thể chất" (Bảng 3.21), CHƯA đo cyberbullying riêng.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