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Tóm tắt bài VN24 — Sức khoẻ tâm thần học sinh THPT tại Vĩnh Long</w:t>
      </w:r>
    </w:p>
    <w:p>
      <w:pPr>
        <w:jc w:val="both"/>
      </w:pPr>
      <w:r>
        <w:rPr>
          <w:rFonts w:ascii="Times New Roman" w:hAnsi="Times New Roman"/>
          <w:b/>
          <w:i w:val="0"/>
          <w:sz w:val="24"/>
        </w:rPr>
        <w:t>Tên công trình, tác giả, năm, mẫu khảo sát, đối tượng, khách thể, địa bàn khảo sát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Công trình "Trầm cảm và các yếu tố liên quan ở học sinh trung học phổ thông tại tỉnh Vĩnh Long" của Nguyễn Thanh Truyền và cộng sự (2024), đăng trên Tạp chí Y học Việt Nam. Mẫu nghiên cứu là 919 học sinh THPT tại Vĩnh Long, sử dụng thang CES-D (Center for Epidemiologic Studies Depression) và ESSA (Educational Stress Scale for Adolescents).</w:t>
      </w:r>
    </w:p>
    <w:p>
      <w:pPr>
        <w:pStyle w:val="Heading2"/>
      </w:pPr>
      <w:r>
        <w:rPr>
          <w:rFonts w:ascii="Times New Roman" w:hAnsi="Times New Roman"/>
          <w:color w:val="000000"/>
        </w:rPr>
        <w:t>Phương pháp nghiên cứu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Thiết kế cắt ngang trên 919 học sinh THPT tại Vĩnh Long. Công cụ: CES-D đo trầm cảm + ESSA đo căng thẳng học tập. Phỏng vấn trực tiếp tại trường. Phân tích mô tả + chi-square + hồi quy logistic đa biến.</w:t>
      </w:r>
    </w:p>
    <w:p>
      <w:pPr>
        <w:pStyle w:val="Heading2"/>
      </w:pPr>
      <w:r>
        <w:rPr>
          <w:rFonts w:ascii="Times New Roman" w:hAnsi="Times New Roman"/>
          <w:color w:val="000000"/>
        </w:rPr>
        <w:t>Kết quả nghiên cứu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Tỷ lệ trầm cảm (CES-D ≥ 16) là 12,2 % — tương đối thấp so với các nghiên cứu khác tại Việt Nam. Các yếu tố nguy cơ liên quan có ý nghĩa: nghiện rượu, áp lực học tập cao theo thang ESSA, gia đình mâu thuẫn, sống xa cha mẹ. Nữ có tỷ lệ cao hơn nam.</w:t>
      </w:r>
    </w:p>
    <w:p>
      <w:pPr>
        <w:pStyle w:val="Heading2"/>
      </w:pPr>
      <w:r>
        <w:rPr>
          <w:rFonts w:ascii="Times New Roman" w:hAnsi="Times New Roman"/>
          <w:color w:val="000000"/>
        </w:rPr>
        <w:t>Phản biện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Mẫu khá lớn n = 919, nhưng chỉ tại 1 tỉnh ĐBSCL — không đại diện toàn Việt Nam. Sử dụng CES-D đo TRẦM CẢM (không đo lo âu trực tiếp) — bài này phù hợp đối chiếu hơn là can thiệp trực tiếp lo âu. Tỷ lệ 12,2 % thấp có thể do cut-off CES-D ≥ 16 (nghiêm ngặt) hoặc do mẫu Vĩnh Long ít chịu áp lực thi đại học hơn các tỉnh đô thị. Không có so sánh trước-sau, không có nhóm chứng.</w:t>
      </w:r>
    </w:p>
    <w:p>
      <w:pPr>
        <w:pStyle w:val="Heading2"/>
      </w:pPr>
      <w:r>
        <w:rPr>
          <w:rFonts w:ascii="Times New Roman" w:hAnsi="Times New Roman"/>
          <w:color w:val="000000"/>
        </w:rPr>
        <w:t>Hướng nghiên cứu tiếp theo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Cần bổ sung thang đo lo âu (GAD-7 hoặc DASS-21) để có bức tranh toàn diện. So sánh đa vùng (đô thị vs nông thôn). Nghiên cứu dọc theo nhóm có nguy cơ cao (nghiện rượu, gia đình mâu thuẫn).</w:t>
      </w:r>
    </w:p>
    <w:p>
      <w:pPr>
        <w:jc w:val="both"/>
      </w:pPr>
      <w:r>
        <w:rPr>
          <w:rFonts w:ascii="Times New Roman" w:hAnsi="Times New Roman"/>
          <w:b/>
          <w:i w:val="0"/>
          <w:sz w:val="24"/>
        </w:rPr>
        <w:t>Đánh giá chất lượng: ⭐⭐⭐ Trung bình–Khá. Mẫu khá, tạp chí trong nước, hữu ích cho dữ liệu vùng ĐBSCL.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