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Tóm tắt bài VN26 — Lo âu ở học sinh THPT tại Long An</w:t>
      </w:r>
    </w:p>
    <w:p>
      <w:pPr>
        <w:jc w:val="both"/>
      </w:pPr>
      <w:r>
        <w:rPr>
          <w:rFonts w:ascii="Times New Roman" w:hAnsi="Times New Roman"/>
          <w:b/>
          <w:i w:val="0"/>
          <w:sz w:val="24"/>
        </w:rPr>
        <w:t>Tên công trình, tác giả, năm, mẫu khảo sát, đối tượng, khách thể, địa bàn khảo sát</w:t>
      </w:r>
    </w:p>
    <w:p>
      <w:pPr>
        <w:jc w:val="both"/>
      </w:pPr>
      <w:r>
        <w:rPr>
          <w:rFonts w:ascii="Times New Roman" w:hAnsi="Times New Roman"/>
          <w:b w:val="0"/>
          <w:i w:val="0"/>
          <w:sz w:val="24"/>
        </w:rPr>
        <w:t>Công trình về thực trạng lo âu ở học sinh THPT tại tỉnh Long An (Đồng bằng sông Cửu Long), đăng trên Tạp chí Y học Việt Nam (VJOL) năm 2025. Khảo sát học sinh THPT tại Long An.</w:t>
      </w:r>
    </w:p>
    <w:p>
      <w:pPr>
        <w:pStyle w:val="Heading2"/>
      </w:pPr>
      <w:r>
        <w:rPr>
          <w:rFonts w:ascii="Times New Roman" w:hAnsi="Times New Roman"/>
          <w:color w:val="000000"/>
        </w:rPr>
        <w:t>Phương pháp nghiên cứu</w:t>
      </w:r>
    </w:p>
    <w:p>
      <w:pPr>
        <w:jc w:val="both"/>
      </w:pPr>
      <w:r>
        <w:rPr>
          <w:rFonts w:ascii="Times New Roman" w:hAnsi="Times New Roman"/>
          <w:b w:val="0"/>
          <w:i w:val="0"/>
          <w:sz w:val="24"/>
        </w:rPr>
        <w:t>Cắt ngang trên học sinh THPT các trường tại Long An. Sử dụng thang đo lo âu (DASS-21 hoặc tương đương) phiên bản tiếng Việt. Bảng hỏi nhân khẩu học và yếu tố liên quan.</w:t>
      </w:r>
    </w:p>
    <w:p>
      <w:pPr>
        <w:pStyle w:val="Heading2"/>
      </w:pPr>
      <w:r>
        <w:rPr>
          <w:rFonts w:ascii="Times New Roman" w:hAnsi="Times New Roman"/>
          <w:color w:val="000000"/>
        </w:rPr>
        <w:t>Kết quả nghiên cứu</w:t>
      </w:r>
    </w:p>
    <w:p>
      <w:pPr>
        <w:jc w:val="both"/>
      </w:pPr>
      <w:r>
        <w:rPr>
          <w:rFonts w:ascii="Times New Roman" w:hAnsi="Times New Roman"/>
          <w:b w:val="0"/>
          <w:i w:val="0"/>
          <w:sz w:val="24"/>
        </w:rPr>
        <w:t>Tỷ lệ lo âu là 57,2 % — CAO NHẤT trong số các nghiên cứu lo âu HS THPT tại Việt Nam được hệ thống tổng hợp đến thời điểm hiện tại. Tỷ lệ này cao hơn rõ rệt so với Hà Nội (Hoa 2024: 40,6 %), Hải Phòng (39,3 %), Huế (Trần Thảo Vi 2024: ~ 30–40 %). Yếu tố nguy cơ: nữ giới, áp lực thi đại học, mâu thuẫn gia đình, lạm dụng MXH.</w:t>
      </w:r>
    </w:p>
    <w:p>
      <w:pPr>
        <w:pStyle w:val="Heading2"/>
      </w:pPr>
      <w:r>
        <w:rPr>
          <w:rFonts w:ascii="Times New Roman" w:hAnsi="Times New Roman"/>
          <w:color w:val="000000"/>
        </w:rPr>
        <w:t>Phản biện</w:t>
      </w:r>
    </w:p>
    <w:p>
      <w:pPr>
        <w:jc w:val="both"/>
      </w:pPr>
      <w:r>
        <w:rPr>
          <w:rFonts w:ascii="Times New Roman" w:hAnsi="Times New Roman"/>
          <w:b w:val="0"/>
          <w:i w:val="0"/>
          <w:sz w:val="24"/>
        </w:rPr>
        <w:t>Tỷ lệ 57,2 % là CAO BẤT THƯỜNG so với các vùng khác — cần giải thích. Có thể do: (1) cut-off thấp; (2) đặc thù vùng (Long An giáp TPHCM, áp lực thi vào ĐH cao); (3) thiên lệch chọn mẫu; (4) ảnh hưởng còn lại của COVID-19. Tạp chí trong nước, mẫu cắt ngang, không có nhóm chứng. Cần đối chiếu với phương pháp đo cụ thể.</w:t>
      </w:r>
    </w:p>
    <w:p>
      <w:pPr>
        <w:pStyle w:val="Heading2"/>
      </w:pPr>
      <w:r>
        <w:rPr>
          <w:rFonts w:ascii="Times New Roman" w:hAnsi="Times New Roman"/>
          <w:color w:val="000000"/>
        </w:rPr>
        <w:t>Hướng nghiên cứu tiếp theo</w:t>
      </w:r>
    </w:p>
    <w:p>
      <w:pPr>
        <w:jc w:val="both"/>
      </w:pPr>
      <w:r>
        <w:rPr>
          <w:rFonts w:ascii="Times New Roman" w:hAnsi="Times New Roman"/>
          <w:b w:val="0"/>
          <w:i w:val="0"/>
          <w:sz w:val="24"/>
        </w:rPr>
        <w:t>So sánh trực tiếp với các tỉnh ĐBSCL khác bằng cùng công cụ. Phân tích yếu tố vùng đặc thù. Cần điều tra lý do tỷ lệ cao bất thường: định lượng + định tính.</w:t>
      </w:r>
    </w:p>
    <w:p>
      <w:pPr>
        <w:jc w:val="both"/>
      </w:pPr>
      <w:r>
        <w:rPr>
          <w:rFonts w:ascii="Times New Roman" w:hAnsi="Times New Roman"/>
          <w:b/>
          <w:i w:val="0"/>
          <w:sz w:val="24"/>
        </w:rPr>
        <w:t>Đánh giá chất lượng: ⭐⭐⭐ Trung bình. Có giá trị dữ liệu vùng, nhưng cần cẩn trọng diễn giải tỷ lệ cao.</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