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  <w:color w:val="000000"/>
        </w:rPr>
        <w:t>Tóm tắt bài VN28 — Thực trạng tâm lý sinh viên năm 4 ĐH Y Hà Nội</w:t>
      </w:r>
    </w:p>
    <w:p>
      <w:pPr>
        <w:jc w:val="both"/>
      </w:pPr>
      <w:r>
        <w:rPr>
          <w:rFonts w:ascii="Times New Roman" w:hAnsi="Times New Roman"/>
          <w:b/>
          <w:i w:val="0"/>
          <w:sz w:val="24"/>
        </w:rPr>
        <w:t>Tên công trình, tác giả, năm, mẫu khảo sát, đối tượng, khách thể, địa bàn khảo sát</w:t>
      </w:r>
    </w:p>
    <w:p>
      <w:pPr>
        <w:jc w:val="both"/>
      </w:pPr>
      <w:r>
        <w:rPr>
          <w:rFonts w:ascii="Times New Roman" w:hAnsi="Times New Roman"/>
          <w:b w:val="0"/>
          <w:i w:val="0"/>
          <w:sz w:val="24"/>
        </w:rPr>
        <w:t>Công trình "Thực trạng tâm lý của sinh viên năm thứ tư Trường Đại học Y Hà Nội năm học 2023-2024" của Đào Thị Ngoãn và cộng sự (2025), đăng trên Tạp chí Nghiên cứu Y học (TCNCYH) tập 187 số 02-2025, tr. 296-303. Khách thể: 196 sinh viên năm thứ 4 ĐH Y Hà Nội (126 ngành bác sĩ + 70 cử nhân, 35,71 % nam, 64,29 % nữ), được chọn ngẫu nhiên đơn từ danh sách 901 sinh viên toàn khối. Thời gian khảo sát: 01–12/2024. Công cụ: DASS-21 phiên bản tiếng Việt (Viện SKTT BV Bạch Mai chuẩn hoá) + Bộ câu hỏi nhu cầu tham vấn tâm lý do Viện ĐTYHDP&amp;YTCC – ĐH Y Hà Nội phát triển năm 2019.</w:t>
      </w:r>
    </w:p>
    <w:p>
      <w:pPr>
        <w:pStyle w:val="Heading2"/>
      </w:pPr>
      <w:r>
        <w:rPr>
          <w:rFonts w:ascii="Times New Roman" w:hAnsi="Times New Roman"/>
          <w:color w:val="000000"/>
        </w:rPr>
        <w:t>Phương pháp nghiên cứu</w:t>
      </w:r>
    </w:p>
    <w:p>
      <w:pPr>
        <w:jc w:val="both"/>
      </w:pPr>
      <w:r>
        <w:rPr>
          <w:rFonts w:ascii="Times New Roman" w:hAnsi="Times New Roman"/>
          <w:b w:val="0"/>
          <w:i w:val="0"/>
          <w:sz w:val="24"/>
        </w:rPr>
        <w:t>Thiết kế cắt ngang trên 196 sinh viên năm 4. Cỡ mẫu tính theo công thức ước tính tỷ lệ quần thể với p = 0,85, d = 0,05, α = 0,05 → n_min = 195. Sinh viên trả lời trực tiếp tại phòng LAB Bộ môn Sinh lý học. Nhập liệu Excel, phân tích STATA 15.0. Thống kê mô tả + χ²/Fisher + tính OR cho các liên quan có ý nghĩa thống kê (p &lt; 0,05).</w:t>
      </w:r>
    </w:p>
    <w:p>
      <w:pPr>
        <w:pStyle w:val="Heading2"/>
      </w:pPr>
      <w:r>
        <w:rPr>
          <w:rFonts w:ascii="Times New Roman" w:hAnsi="Times New Roman"/>
          <w:color w:val="000000"/>
        </w:rPr>
        <w:t>Kết quả nghiên cứu</w:t>
      </w:r>
    </w:p>
    <w:p>
      <w:pPr>
        <w:jc w:val="both"/>
      </w:pPr>
      <w:r>
        <w:rPr>
          <w:rFonts w:ascii="Times New Roman" w:hAnsi="Times New Roman"/>
          <w:b w:val="0"/>
          <w:i w:val="0"/>
          <w:sz w:val="24"/>
        </w:rPr>
        <w:t>Tỷ lệ rối loạn sức khoẻ tâm thần ở SV năm 4 ĐH Y Hà Nội rất cao: 33,67 % trầm cảm, 43,88 % LO ÂU, 31,63 % căng thẳng. 57,65 % mắc ít nhất 1 trong 3 rối loạn. 11,73 % mắc rối loạn từ mức nghiêm trọng trở lên (5,69 % mức nghiêm trọng + 6,12 % rất nghiêm trọng cộng dồn 3 trục).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701"/>
        <w:gridCol w:w="3969"/>
        <w:gridCol w:w="1134"/>
        <w:gridCol w:w="1701"/>
      </w:tblGrid>
      <w:tr>
        <w:tc>
          <w:tcPr>
            <w:tcW w:w="1701" w:type="dxa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Outcome</w:t>
            </w:r>
          </w:p>
        </w:tc>
        <w:tc>
          <w:tcPr>
            <w:tcW w:w="3969" w:type="dxa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Yếu tố nguy cơ chính</w:t>
            </w:r>
          </w:p>
        </w:tc>
        <w:tc>
          <w:tcPr>
            <w:tcW w:w="1134" w:type="dxa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OR</w:t>
            </w:r>
          </w:p>
        </w:tc>
        <w:tc>
          <w:tcPr>
            <w:tcW w:w="1701" w:type="dxa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p</w:t>
            </w:r>
          </w:p>
        </w:tc>
      </w:tr>
      <w:tr>
        <w:tc>
          <w:tcPr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Trầm cảm</w:t>
            </w:r>
          </w:p>
        </w:tc>
        <w:tc>
          <w:tcPr>
            <w:tcW w:w="3969" w:type="dxa"/>
          </w:tcPr>
          <w:p>
            <w:r>
              <w:rPr>
                <w:rFonts w:ascii="Times New Roman" w:hAnsi="Times New Roman"/>
                <w:sz w:val="20"/>
              </w:rPr>
              <w:t>Điểm tích luỹ Giỏi</w:t>
            </w:r>
          </w:p>
        </w:tc>
        <w:tc>
          <w:tcPr>
            <w:tcW w:w="1134" w:type="dxa"/>
          </w:tcPr>
          <w:p>
            <w:r>
              <w:rPr>
                <w:rFonts w:ascii="Times New Roman" w:hAnsi="Times New Roman"/>
                <w:sz w:val="20"/>
              </w:rPr>
              <w:t>4,97</w:t>
            </w:r>
          </w:p>
        </w:tc>
        <w:tc>
          <w:tcPr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0,005</w:t>
            </w:r>
          </w:p>
        </w:tc>
      </w:tr>
      <w:tr>
        <w:tc>
          <w:tcPr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Lo âu</w:t>
            </w:r>
          </w:p>
        </w:tc>
        <w:tc>
          <w:tcPr>
            <w:tcW w:w="3969" w:type="dxa"/>
          </w:tcPr>
          <w:p>
            <w:r>
              <w:rPr>
                <w:rFonts w:ascii="Times New Roman" w:hAnsi="Times New Roman"/>
                <w:sz w:val="20"/>
              </w:rPr>
              <w:t>Điểm tích luỹ Giỏi</w:t>
            </w:r>
          </w:p>
        </w:tc>
        <w:tc>
          <w:tcPr>
            <w:tcW w:w="1134" w:type="dxa"/>
          </w:tcPr>
          <w:p>
            <w:r>
              <w:rPr>
                <w:rFonts w:ascii="Times New Roman" w:hAnsi="Times New Roman"/>
                <w:sz w:val="20"/>
              </w:rPr>
              <w:t>4,69</w:t>
            </w:r>
          </w:p>
        </w:tc>
        <w:tc>
          <w:tcPr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0,013</w:t>
            </w:r>
          </w:p>
        </w:tc>
      </w:tr>
      <w:tr>
        <w:tc>
          <w:tcPr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Lo âu</w:t>
            </w:r>
          </w:p>
        </w:tc>
        <w:tc>
          <w:tcPr>
            <w:tcW w:w="3969" w:type="dxa"/>
          </w:tcPr>
          <w:p>
            <w:r>
              <w:rPr>
                <w:rFonts w:ascii="Times New Roman" w:hAnsi="Times New Roman"/>
                <w:sz w:val="20"/>
              </w:rPr>
              <w:t>Hệ Bác sĩ vs Cử nhân</w:t>
            </w:r>
          </w:p>
        </w:tc>
        <w:tc>
          <w:tcPr>
            <w:tcW w:w="1134" w:type="dxa"/>
          </w:tcPr>
          <w:p>
            <w:r>
              <w:rPr>
                <w:rFonts w:ascii="Times New Roman" w:hAnsi="Times New Roman"/>
                <w:sz w:val="20"/>
              </w:rPr>
              <w:t>1,86</w:t>
            </w:r>
          </w:p>
        </w:tc>
        <w:tc>
          <w:tcPr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0,044</w:t>
            </w:r>
          </w:p>
        </w:tc>
      </w:tr>
      <w:tr>
        <w:tc>
          <w:tcPr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Lo âu</w:t>
            </w:r>
          </w:p>
        </w:tc>
        <w:tc>
          <w:tcPr>
            <w:tcW w:w="3969" w:type="dxa"/>
          </w:tcPr>
          <w:p>
            <w:r>
              <w:rPr>
                <w:rFonts w:ascii="Times New Roman" w:hAnsi="Times New Roman"/>
                <w:sz w:val="20"/>
              </w:rPr>
              <w:t>Vấn đề giấc ngủ</w:t>
            </w:r>
          </w:p>
        </w:tc>
        <w:tc>
          <w:tcPr>
            <w:tcW w:w="1134" w:type="dxa"/>
          </w:tcPr>
          <w:p>
            <w:r>
              <w:rPr>
                <w:rFonts w:ascii="Times New Roman" w:hAnsi="Times New Roman"/>
                <w:sz w:val="20"/>
              </w:rPr>
              <w:t>1,84</w:t>
            </w:r>
          </w:p>
        </w:tc>
        <w:tc>
          <w:tcPr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0,038</w:t>
            </w:r>
          </w:p>
        </w:tc>
      </w:tr>
      <w:tr>
        <w:tc>
          <w:tcPr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Căng thẳng</w:t>
            </w:r>
          </w:p>
        </w:tc>
        <w:tc>
          <w:tcPr>
            <w:tcW w:w="3969" w:type="dxa"/>
          </w:tcPr>
          <w:p>
            <w:r>
              <w:rPr>
                <w:rFonts w:ascii="Times New Roman" w:hAnsi="Times New Roman"/>
                <w:sz w:val="20"/>
              </w:rPr>
              <w:t>Chưa hài lòng học tập</w:t>
            </w:r>
          </w:p>
        </w:tc>
        <w:tc>
          <w:tcPr>
            <w:tcW w:w="1134" w:type="dxa"/>
          </w:tcPr>
          <w:p>
            <w:r>
              <w:rPr>
                <w:rFonts w:ascii="Times New Roman" w:hAnsi="Times New Roman"/>
                <w:sz w:val="20"/>
              </w:rPr>
              <w:t>10,70</w:t>
            </w:r>
          </w:p>
        </w:tc>
        <w:tc>
          <w:tcPr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0,005</w:t>
            </w:r>
          </w:p>
        </w:tc>
      </w:tr>
      <w:tr>
        <w:tc>
          <w:tcPr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Căng thẳng</w:t>
            </w:r>
          </w:p>
        </w:tc>
        <w:tc>
          <w:tcPr>
            <w:tcW w:w="3969" w:type="dxa"/>
          </w:tcPr>
          <w:p>
            <w:r>
              <w:rPr>
                <w:rFonts w:ascii="Times New Roman" w:hAnsi="Times New Roman"/>
                <w:sz w:val="20"/>
              </w:rPr>
              <w:t>Mối quan hệ xã hội có vấn đề</w:t>
            </w:r>
          </w:p>
        </w:tc>
        <w:tc>
          <w:tcPr>
            <w:tcW w:w="1134" w:type="dxa"/>
          </w:tcPr>
          <w:p>
            <w:r>
              <w:rPr>
                <w:rFonts w:ascii="Times New Roman" w:hAnsi="Times New Roman"/>
                <w:sz w:val="20"/>
              </w:rPr>
              <w:t>2,92</w:t>
            </w:r>
          </w:p>
        </w:tc>
        <w:tc>
          <w:tcPr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0,002</w:t>
            </w:r>
          </w:p>
        </w:tc>
      </w:tr>
      <w:tr>
        <w:tc>
          <w:tcPr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Căng thẳng</w:t>
            </w:r>
          </w:p>
        </w:tc>
        <w:tc>
          <w:tcPr>
            <w:tcW w:w="3969" w:type="dxa"/>
          </w:tcPr>
          <w:p>
            <w:r>
              <w:rPr>
                <w:rFonts w:ascii="Times New Roman" w:hAnsi="Times New Roman"/>
                <w:sz w:val="20"/>
              </w:rPr>
              <w:t>Vấn đề giấc ngủ</w:t>
            </w:r>
          </w:p>
        </w:tc>
        <w:tc>
          <w:tcPr>
            <w:tcW w:w="1134" w:type="dxa"/>
          </w:tcPr>
          <w:p>
            <w:r>
              <w:rPr>
                <w:rFonts w:ascii="Times New Roman" w:hAnsi="Times New Roman"/>
                <w:sz w:val="20"/>
              </w:rPr>
              <w:t>2,90</w:t>
            </w:r>
          </w:p>
        </w:tc>
        <w:tc>
          <w:tcPr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0,001</w:t>
            </w:r>
          </w:p>
        </w:tc>
      </w:tr>
      <w:tr>
        <w:tc>
          <w:tcPr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Căng thẳng</w:t>
            </w:r>
          </w:p>
        </w:tc>
        <w:tc>
          <w:tcPr>
            <w:tcW w:w="3969" w:type="dxa"/>
          </w:tcPr>
          <w:p>
            <w:r>
              <w:rPr>
                <w:rFonts w:ascii="Times New Roman" w:hAnsi="Times New Roman"/>
                <w:sz w:val="20"/>
              </w:rPr>
              <w:t>Tài chính không đủ</w:t>
            </w:r>
          </w:p>
        </w:tc>
        <w:tc>
          <w:tcPr>
            <w:tcW w:w="1134" w:type="dxa"/>
          </w:tcPr>
          <w:p>
            <w:r>
              <w:rPr>
                <w:rFonts w:ascii="Times New Roman" w:hAnsi="Times New Roman"/>
                <w:sz w:val="20"/>
              </w:rPr>
              <w:t>2,74</w:t>
            </w:r>
          </w:p>
        </w:tc>
        <w:tc>
          <w:tcPr>
            <w:tcW w:w="1701" w:type="dxa"/>
          </w:tcPr>
          <w:p>
            <w:r>
              <w:rPr>
                <w:rFonts w:ascii="Times New Roman" w:hAnsi="Times New Roman"/>
                <w:sz w:val="20"/>
              </w:rPr>
              <w:t>0,012</w:t>
            </w:r>
          </w:p>
        </w:tc>
      </w:tr>
    </w:tbl>
    <w:p>
      <w:pPr>
        <w:jc w:val="both"/>
      </w:pPr>
      <w:r>
        <w:rPr>
          <w:rFonts w:ascii="Times New Roman" w:hAnsi="Times New Roman"/>
          <w:b/>
          <w:i w:val="0"/>
          <w:sz w:val="24"/>
        </w:rPr>
        <w:t>PHÁT HIỆN ĐẶC BIỆT — "Perfectionism trap": Sinh viên đạt điểm tích luỹ MỨC GIỎI có nguy cơ trầm cảm gấp 4,97 lần, lo âu gấp 4,69 lần, căng thẳng gấp 3,82 lần so với nhóm Khá – Trung bình. Đây là hiện tượng NGHỊCH ĐẢO so với giả thuyết thông thường, phù hợp với phát hiện của Trần Thị Mỵ Lương 2020 (HS THPT chuyên, 67,5 % cảm thấy "vô dụng").</w:t>
      </w:r>
    </w:p>
    <w:p>
      <w:pPr>
        <w:pStyle w:val="Heading2"/>
      </w:pPr>
      <w:r>
        <w:rPr>
          <w:rFonts w:ascii="Times New Roman" w:hAnsi="Times New Roman"/>
          <w:color w:val="000000"/>
        </w:rPr>
        <w:t>Phản biện</w:t>
      </w:r>
    </w:p>
    <w:p>
      <w:pPr>
        <w:jc w:val="both"/>
      </w:pPr>
      <w:r>
        <w:rPr>
          <w:rFonts w:ascii="Times New Roman" w:hAnsi="Times New Roman"/>
          <w:b w:val="0"/>
          <w:i w:val="0"/>
          <w:sz w:val="24"/>
        </w:rPr>
        <w:t>Điểm mạnh: chọn mẫu ngẫu nhiên đơn (không thuận tiện); DASS-21 chuẩn hoá tiếng Việt; đo cả 3 trục; phát hiện perfectionism trap thú vị. Hạn chế: đối tượng SINH VIÊN ĐẠI HỌC — không phải VTN học sinh THCS/THPT, không ngoại suy trực tiếp được; cỡ mẫu n = 196 nhỏ; cắt ngang không kết luận nhân quả; chỉ 1 trường ĐH Y Hà Nội; thiếu phân tích đa biến.</w:t>
      </w:r>
    </w:p>
    <w:p>
      <w:pPr>
        <w:pStyle w:val="Heading2"/>
      </w:pPr>
      <w:r>
        <w:rPr>
          <w:rFonts w:ascii="Times New Roman" w:hAnsi="Times New Roman"/>
          <w:color w:val="000000"/>
        </w:rPr>
        <w:t>Hướng nghiên cứu tiếp theo</w:t>
      </w:r>
    </w:p>
    <w:p>
      <w:pPr>
        <w:jc w:val="both"/>
      </w:pPr>
      <w:r>
        <w:rPr>
          <w:rFonts w:ascii="Times New Roman" w:hAnsi="Times New Roman"/>
          <w:b w:val="0"/>
          <w:i w:val="0"/>
          <w:sz w:val="24"/>
        </w:rPr>
        <w:t>Lặp lại với HS THPT chuyên VN — dùng cùng công cụ DASS-Y (phiên bản VTN) để kiểm tra perfectionism trap ở tuổi nhỏ hơn. So sánh đa cơ sở (ĐH Y Hà Nội, ĐH Y Dược TPHCM, ĐH Y Huế). Phân tích mediation: điểm cao → áp lực → giấc ngủ → trầm cảm/lo âu. NC dọc theo dõi sinh viên Y năm 1 → 6 để xem điểm uốn.</w:t>
      </w:r>
    </w:p>
    <w:p>
      <w:pPr>
        <w:jc w:val="both"/>
      </w:pPr>
      <w:r>
        <w:rPr>
          <w:rFonts w:ascii="Times New Roman" w:hAnsi="Times New Roman"/>
          <w:b/>
          <w:i w:val="0"/>
          <w:sz w:val="24"/>
        </w:rPr>
        <w:t>Đánh giá chất lượng: ⭐⭐⭐ Trung bình–Khá. TCNCYH trong nước, mẫu vừa, có giá trị bổ sung dữ liệu SV y VN.</w:t>
      </w:r>
    </w:p>
    <w:sectPr w:rsidR="00FC693F" w:rsidRPr="0006063C" w:rsidSect="00034616">
      <w:pgSz w:w="12240" w:h="15840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