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VN29 — Triệu chứng SKTT và hành vi nguy cơ ở 2.631 HS THPT TPHCM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Công trình "Unmasking the burden of mental health symptoms and risk behaviors in Vietnamese adolescents: evidence from a multicenter cross-sectional study involving 2,631 high school students" của Truc Thanh Thai, Minh Cuong Duong và cộng sự (2025), đăng trên Social Psychiatry and Psychiatric Epidemiology (Q1, IF ≈ 4,5) — Springer. DOI 10.1007/s00127-025-03043-7. Khách thể: 2.631 học sinh THPT (sau làm sạch từ 3.025) tại 4 trường THPT + 4 Trung tâm Giáo dục thường xuyên TPHCM. Đơn vị: Khoa YTCC, ĐH Y Dược TPHCM (217 Hồng Bàng, Q.5) hợp tác với UNSW Sydney, Úc. Công cụ: DASS-21 (SOMD) + YBRS (Youth Behavior Risk Scale, HRB).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Khảo sát cắt ngang đa trung tâm tại 8 cơ sở giáo dục TPHCM (4 trường THPT chính quy + 4 trung tâm giáo dục thường xuyên). Học sinh tự điền bộ câu hỏi gồm 3 phần: (1) Nhân khẩu xã hội; (2) DASS-21 sàng lọc trầm cảm/lo âu/căng thẳng; (3) YBRS đo 8 nhóm hành vi nguy cơ (sử dụng chất, hành vi nguy hiểm, đánh nhau, ý nghĩ tự tử, hành vi tình dục, ăn uống, vận động, giấc ngủ). Phân tích logistic regression để đánh giá mối liên hệ giữa SOMD và HRB. Khung lý thuyết: Jessor Problem Behavior Theory + self-medication hypothesis.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Tỷ lệ triệu chứng (DASS-21):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3118"/>
      </w:tblGrid>
      <w:tr>
        <w:tc>
          <w:tcPr>
            <w:tcW w:w="4536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Triệu chứng</w:t>
            </w:r>
          </w:p>
        </w:tc>
        <w:tc>
          <w:tcPr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</w:tr>
      <w:tr>
        <w:tc>
          <w:tcPr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42,6 %</w:t>
            </w:r>
          </w:p>
        </w:tc>
      </w:tr>
      <w:tr>
        <w:tc>
          <w:tcPr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Lo âu (cao nhất)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50,3 %</w:t>
            </w:r>
          </w:p>
        </w:tc>
      </w:tr>
      <w:tr>
        <w:tc>
          <w:tcPr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Căng thẳng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31,1 %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Tỷ lệ hành vi nguy cơ (HRB):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0"/>
        <w:gridCol w:w="1984"/>
      </w:tblGrid>
      <w:tr>
        <w:tc>
          <w:tcPr>
            <w:tcW w:w="567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HRB</w:t>
            </w:r>
          </w:p>
        </w:tc>
        <w:tc>
          <w:tcPr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</w:tr>
      <w:tr>
        <w:tc>
          <w:tcPr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Ít vận động thể chất (cao nhất)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79,9 %</w:t>
            </w:r>
          </w:p>
        </w:tc>
      </w:tr>
      <w:tr>
        <w:tc>
          <w:tcPr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Quan hệ tình dục không an toàn (thấp nhất)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4,0 %</w:t>
            </w:r>
          </w:p>
        </w:tc>
      </w:tr>
      <w:tr>
        <w:tc>
          <w:tcPr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Đa hành vi nguy cơ (≥ 2 HRB)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91,6 %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i w:val="0"/>
          <w:sz w:val="24"/>
        </w:rPr>
        <w:t>Mối liên hệ: Học sinh có SOMD có nguy cơ tham gia HRB cao hơn 1,24 đến 4,64 lần so với học sinh không có SOMD — bằng chứng mạnh cho cơ chế "tự dùng" (self-medication) ở VTN Việt Nam. Phù hợp với khung lý thuyết Jessor về liên kết các hành vi vấn đề.</w:t>
      </w:r>
    </w:p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Điểm mạnh: Q1 Social Psychiatry and Psychiatric Epidemiology, cỡ mẫu rất lớn (n = 2.631), đa trung tâm bao phủ cả THPT chính quy + GDTX (đối tượng dễ bị bỏ qua), đo ĐỒNG THỜI SOMD và HRB — lấp khoảng trống lớn trong NC VN. Sử dụng khung lý thuyết quốc tế. Tỷ lệ lo âu 50,3 % phù hợp với "baseline VTN châu Á 40–55 %" — củng cố bức tranh dịch tễ.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Hạn chế: cắt ngang không kết luận chiều nhân quả; chỉ TPHCM (không đại diện cả nước); tự báo cáo có thể có thiên lệch xã hội với câu hỏi nhạy cảm; DASS-21 sàng lọc có thể overestimate; mất 13 % mẫu cần kiểm tra missing data analysis.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Lặp lại tại Hà Nội + miền Trung để có dữ liệu toàn quốc. NC dọc theo dõi nhóm này 2-3 năm để xác định chiều nhân quả SOMD ↔ HRB. Phát triển và thử nghiệm CAN THIỆP TÍCH HỢP đa thành phần (CBT + giáo dục SK + thay đổi hành vi + hỗ trợ gia đình) thay vì targeted vào lo âu/trầm cảm đơn lẻ — vì 91,6 % HS đa hành vi nguy cơ. So sánh THPT chính quy vs GDTX về cơ cấu nguy cơ.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⭐⭐⭐⭐⭐ Rất cao. Q1, mẫu lớn, đa trung tâm, đo đồng thời SOMD + HRB — bài VN tốt nhất hiện có cho dữ liệu VTN TPHCM.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