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VN030 — Happy House: RCT cluster can thiệp SKTT trường học cho VTN Hà Nội</w:t>
      </w:r>
    </w:p>
    <w:p>
      <w:pPr>
        <w:jc w:val="both"/>
      </w:pPr>
      <w:r>
        <w:rPr>
          <w:rFonts w:ascii="Times New Roman" w:hAnsi="Times New Roman"/>
          <w:b w:val="0"/>
          <w:i/>
          <w:sz w:val="24"/>
        </w:rPr>
        <w:t>Cập nhật từ full text PMC10643236 (12/04/2026).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Công trình "School-based universal mental health promotion intervention for adolescents in Vietnam: Two-arm, parallel, controlled trial" của Tran, T.D., Nguyen, H., Shochet, I., Nguyen, N., La, N., Wurfl, A., Orr, J., Nguyen, H., Stocker, R. &amp; Fisher, J. (2023), đăng trên Cambridge Prisms: Global Mental Health vol. 10, e58 (10/2023). Link PMC: https://pmc.ncbi.nlm.nih.gov/articles/PMC10643236/. Đơn vị hợp tác Việt – Úc: Monash University (Melbourne), Hanoi University of Public Health, Queensland University of Technology (Brisbane). Khách thể: 1.084 học sinh lớp 10 (531 can thiệp + 552 đối chứng) tại 8 trường THPT Hà Nội (4+4). Tỷ lệ tham gia 96,1 % (1.084 từ 1.128 đủ điều kiện). Tuổi 15-16. Trial registration: ACTRN12620000088943. Funding: NHMRC Úc (GNT1158429) + NAFOSTED Việt Nam (NHMRC.108.01-2018.02).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Thiết kế cluster controlled (two-arm parallel) — phân bổ cấp TRƯỜNG (cluster non-randomized do yêu cầu hành chính). 8 trường chọn dựa trên sẵn sàng tham gia + cân bằng đặc điểm kinh tế xã hội + địa lý (đô thị vs ngoại ô). 4 trường can thiệp + 4 trường đối chứng.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Can thiệp Happy House: phiên bản thích ứng văn hoá Việt Nam của chương trình RAP-A (Resourceful Adolescent Program), 6 buổi mỗi buổi 90 phút trong 6 tuần liền. Nội dung: CBT + IPT thông qua 6 chủ đề (sức mạnh bản thân, suy nghĩ tích cực, quản lý cảm xúc, giải quyết vấn đề, mạng lưới hỗ trợ, ôn tập + cam kết). Thay thế môn Giáo dục Công dân.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Người cung cấp: Giáo viên Giáo dục Công dân được đào tạo 3 ngày bởi Monash + HUPH. Mỗi buổi có giáo viên chính + 1-2 trợ giảng để hỗ trợ lớp đông (40-45 HS). 95 % HS hoàn thành toàn bộ 6 buổi, 100 % fidelity tự đánh giá.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Đo lường: CESD-R (Center for Epidemiologic Studies Depression Revised, 20 mục, thang 0-80, ngưỡng ≥ 16) là kết cục chính. Kết cục phụ: MHC-SF (phúc lợi), CSES (tự hiệu quả ứng phó), school connectedness. Thời điểm: ban đầu (10/2020), 2 tuần sau (12/2020), 6 tháng sau (05/2021, online do COVID-19). Phân tích: mixed-effects models với cụm lớp ngẫu nhiên, ITT, kiểm soát baseline.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CESD-R ≥ 16 (kết cục chính):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17"/>
        <w:gridCol w:w="1871"/>
        <w:gridCol w:w="1871"/>
        <w:gridCol w:w="1701"/>
        <w:gridCol w:w="793"/>
        <w:gridCol w:w="1134"/>
      </w:tblGrid>
      <w:tr>
        <w:tc>
          <w:tcPr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Thời điểm</w:t>
            </w:r>
          </w:p>
        </w:tc>
        <w:tc>
          <w:tcPr>
            <w:tcW w:w="187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Đối chứng (%)</w:t>
            </w:r>
          </w:p>
        </w:tc>
        <w:tc>
          <w:tcPr>
            <w:tcW w:w="187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Can thiệp (%)</w:t>
            </w:r>
          </w:p>
        </w:tc>
        <w:tc>
          <w:tcPr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aOR (KTC 95 %)</w:t>
            </w:r>
          </w:p>
        </w:tc>
        <w:tc>
          <w:tcPr>
            <w:tcW w:w="793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Cohen's d</w:t>
            </w:r>
          </w:p>
        </w:tc>
      </w:tr>
      <w:tr>
        <w:tc>
          <w:tcPr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 tuần sau</w:t>
            </w:r>
          </w:p>
        </w:tc>
        <w:tc>
          <w:tcPr>
            <w:tcW w:w="1871" w:type="dxa"/>
          </w:tcPr>
          <w:p>
            <w:r>
              <w:rPr>
                <w:rFonts w:ascii="Times New Roman" w:hAnsi="Times New Roman"/>
                <w:sz w:val="20"/>
              </w:rPr>
              <w:t>28,6 % (155/542)</w:t>
            </w:r>
          </w:p>
        </w:tc>
        <w:tc>
          <w:tcPr>
            <w:tcW w:w="1871" w:type="dxa"/>
          </w:tcPr>
          <w:p>
            <w:r>
              <w:rPr>
                <w:rFonts w:ascii="Times New Roman" w:hAnsi="Times New Roman"/>
                <w:sz w:val="20"/>
              </w:rPr>
              <w:t>23,9 % (125/523)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0,56 (0,36–0,88)</w:t>
            </w:r>
          </w:p>
        </w:tc>
        <w:tc>
          <w:tcPr>
            <w:tcW w:w="793" w:type="dxa"/>
          </w:tcPr>
          <w:p>
            <w:r>
              <w:rPr>
                <w:rFonts w:ascii="Times New Roman" w:hAnsi="Times New Roman"/>
                <w:sz w:val="20"/>
              </w:rPr>
              <w:t>0,011</w:t>
            </w:r>
          </w:p>
        </w:tc>
        <w:tc>
          <w:tcPr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0,11</w:t>
            </w:r>
          </w:p>
        </w:tc>
      </w:tr>
      <w:tr>
        <w:tc>
          <w:tcPr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6 tháng sau</w:t>
            </w:r>
          </w:p>
        </w:tc>
        <w:tc>
          <w:tcPr>
            <w:tcW w:w="1871" w:type="dxa"/>
          </w:tcPr>
          <w:p>
            <w:r>
              <w:rPr>
                <w:rFonts w:ascii="Times New Roman" w:hAnsi="Times New Roman"/>
                <w:sz w:val="20"/>
              </w:rPr>
              <w:t>29,2 % (157/537)</w:t>
            </w:r>
          </w:p>
        </w:tc>
        <w:tc>
          <w:tcPr>
            <w:tcW w:w="1871" w:type="dxa"/>
          </w:tcPr>
          <w:p>
            <w:r>
              <w:rPr>
                <w:rFonts w:ascii="Times New Roman" w:hAnsi="Times New Roman"/>
                <w:sz w:val="20"/>
              </w:rPr>
              <w:t>26,3 % (138/524)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0,75 (0,51–1,09)</w:t>
            </w:r>
          </w:p>
        </w:tc>
        <w:tc>
          <w:tcPr>
            <w:tcW w:w="793" w:type="dxa"/>
          </w:tcPr>
          <w:p>
            <w:r>
              <w:rPr>
                <w:rFonts w:ascii="Times New Roman" w:hAnsi="Times New Roman"/>
                <w:sz w:val="20"/>
              </w:rPr>
              <w:t>0,132</w:t>
            </w:r>
          </w:p>
        </w:tc>
        <w:tc>
          <w:tcPr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i w:val="0"/>
          <w:sz w:val="24"/>
        </w:rPr>
        <w:t>Kết cục phụ: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• Phúc lợi tâm lý (MHC-SF): d = 0,13 (p &lt; 0,05) ở 2 tuần, không còn ý nghĩa ở 6 tháng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• CSES ứng phó vấn đề: d = 0,17–0,26 DUY TRÌ ở cả 2 tuần và 6 tháng *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• CSES tìm kiếm hỗ trợ XH: DUY TRÌ ở 6 tháng *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• CSES điều tiết cảm xúc: không còn ý nghĩa sau Bonferroni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• School connectedness: không có tác động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(* = có ý nghĩa thống kê sau hiệu chỉnh Bonferroni)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Các con số quan trọng: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• 1.084 HS lớp 10 (96,1 % từ 1.128 đủ điều kiện)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• 531 can thiệp + 552 đối chứng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• Baseline CESD-R: 11,4 ± 12,2 (ĐC) vs 12,0 ± 12,0 (CT), p = 0,729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• Tỷ lệ trầm cảm lâm sàng ban đầu: 25,5 % (cả 2 nhóm)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• Mất mẫu: &lt; 3 % ở mọi thời điểm</w:t>
      </w:r>
    </w:p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Điểm mạnh: Cluster controlled trial ĐẦU TIÊN tại Việt Nam về can thiệp SKTT trường học cho VTN. Cỡ mẫu rất lớn (n = 1.084), tỷ lệ tham gia 96,1 %, mất mẫu &lt; 3 %. RAP-A có cơ sở bằng chứng quốc tế mạnh từ Úc, New Zealand, Mauritius. Mô hình hợp tác Việt – Úc (Monash–QUT–HUPH) uy tín. Giáo viên cung cấp — phù hợp LMIC. Đăng ký thử nghiệm trước + tài trợ quốc tế.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Hạn chế: (1) Can thiệp UNIVERSAL (không phải TARGETED) → hiệu ứng nhỏ d = 0,11; (2) FADE-OUT ở 6 tháng — gợi ý cần BOOSTER SESSIONS; (3) Đo TRẦM CẢM chính, KHÔNG đo LO ÂU riêng; (4) Chỉ lớp 10 Hà Nội — chưa đại diện VN; (5) Phân bổ NHÓM không ngẫu nhiên (có thể bias giữa trường can thiệp vs đối chứng); (6) KHÔNG có active control; (7) COVID-19 confounding thời gian theo dõi.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(1) Chuyển sang mô hình TARGETED (HS có GAD-7 ≥ 8 hoặc CESD-R ≥ 16) để giảm dilution và có hiệu ứng lớn hơn. (2) Thêm BOOSTER SESSIONS ở 3 và 6 tháng để duy trì hiệu quả. (3) Đo CẢ TRẦM CẢM + LO ÂU + coping self-efficacy. (4) Mở rộng địa bàn (TPHCM, Đà Nẵng, miền Trung nông thôn, DTTS). (5) RANDOMIZE cấp trường để có RCT thuần. (6) So sánh giáo viên vs chuyên gia tâm lý vs y tá học đường cung cấp.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 Cao. Cluster controlled trial ĐẦU TIÊN tại VN cho VTN, mẫu lớn 1.084, tỷ lệ tham gia 96,1 %, tác giả Monash–QUT–HUPH. Hạn chế: universal intervention với hiệu ứng nhỏ (d = 0,11), không đo lo âu riêng, không randomized. PHẢI trích dẫn trong mọi báo cáo can thiệp VN từ nay.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