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TƯ LIỆU NƯỚC NGOÀI</w:t>
      </w:r>
    </w:p>
    <w:p>
      <w:pPr>
        <w:jc w:val="center"/>
      </w:pPr>
      <w:r>
        <w:rPr>
          <w:rFonts w:ascii="Times New Roman" w:hAnsi="Times New Roman"/>
          <w:b/>
          <w:color w:val="0070C0"/>
          <w:sz w:val="32"/>
        </w:rPr>
        <w:t>VỀ CÁCH ỨNG PHÓ LO ÂU Ở HỌC SINH TRUNG HỌC</w:t>
      </w:r>
    </w:p>
    <w:p>
      <w:pPr>
        <w:jc w:val="center"/>
      </w:pPr>
      <w:r>
        <w:rPr>
          <w:rFonts w:ascii="Times New Roman" w:hAnsi="Times New Roman"/>
          <w:i/>
          <w:color w:val="555555"/>
          <w:sz w:val="22"/>
        </w:rPr>
        <w:t>(Phiên bản tiếng Việt chi tiết — V2 — 27/04/2026)</w:t>
      </w:r>
    </w:p>
    <w:p>
      <w:r>
        <w:rPr>
          <w:rFonts w:ascii="Times New Roman" w:hAnsi="Times New Roman"/>
          <w:b w:val="0"/>
          <w:i w:val="0"/>
          <w:sz w:val="24"/>
        </w:rPr>
      </w:r>
    </w:p>
    <w:p>
      <w:pPr>
        <w:jc w:val="center"/>
      </w:pPr>
      <w:r>
        <w:rPr>
          <w:rFonts w:ascii="Times New Roman" w:hAnsi="Times New Roman"/>
          <w:i/>
          <w:color w:val="555555"/>
          <w:sz w:val="22"/>
        </w:rPr>
        <w:t>Tổng hợp 15 nghiên cứu mới giai đoạn 2023–2026 từ các tạp chí quốc tế Frontiers, Springer, ScienceDirect, Wiley, JMIR, PMC NCBI, MDPI</w:t>
      </w:r>
    </w:p>
    <w:p>
      <w:pPr>
        <w:jc w:val="center"/>
      </w:pPr>
      <w:r>
        <w:rPr>
          <w:rFonts w:ascii="Times New Roman" w:hAnsi="Times New Roman"/>
          <w:i/>
          <w:color w:val="555555"/>
          <w:sz w:val="22"/>
        </w:rPr>
        <w:t>Đã đối chiếu với kho tài liệu 35 bài đã có của dự án để tránh trùng lặp</w:t>
      </w:r>
    </w:p>
    <w:p>
      <w:r>
        <w:rPr>
          <w:rFonts w:ascii="Times New Roman" w:hAnsi="Times New Roman"/>
          <w:b w:val="0"/>
          <w:i w:val="0"/>
          <w:sz w:val="24"/>
        </w:rPr>
      </w:r>
    </w:p>
    <w:p>
      <w:r>
        <w:rPr>
          <w:rFonts w:ascii="Times New Roman" w:hAnsi="Times New Roman"/>
          <w:b w:val="0"/>
          <w:i/>
          <w:color w:val="555555"/>
          <w:sz w:val="20"/>
        </w:rPr>
        <w:t>Trợ lý nghiên cứu — 27/04/2026</w:t>
      </w:r>
    </w:p>
    <w:p>
      <w:r>
        <w:rPr>
          <w:rFonts w:ascii="Times New Roman" w:hAnsi="Times New Roman"/>
          <w:b w:val="0"/>
          <w:i/>
          <w:color w:val="555555"/>
          <w:sz w:val="20"/>
        </w:rPr>
        <w:t>Quy trình thực hiện: 5 lần tìm kiếm trên web (qua các từ khoá khác nhau) trong tháng 4/2026 → lọc các nghiên cứu mới (2023–2026) chưa trùng kho dữ liệu dự án → phân theo 6 nhóm chủ đề can thiệp → mỗi tài liệu có thông tin thư mục đầy đủ + tóm tắt + lưu ý phản biện + đề xuất áp dụng cho Việt Nam.</w:t>
      </w:r>
    </w:p>
    <w:p>
      <w:r>
        <w:rPr>
          <w:rFonts w:ascii="Times New Roman" w:hAnsi="Times New Roman"/>
          <w:b/>
          <w:color w:val="0070C0"/>
          <w:sz w:val="30"/>
        </w:rPr>
        <w:t>PHẦN 1 — TÓM LƯỢC NHANH (cho người đọc bận)</w:t>
      </w:r>
    </w:p>
    <w:p>
      <w:r>
        <w:rPr>
          <w:rFonts w:ascii="Times New Roman" w:hAnsi="Times New Roman"/>
          <w:b w:val="0"/>
          <w:i w:val="0"/>
          <w:sz w:val="24"/>
        </w:rPr>
        <w:t>Em đã tổng hợp 15 tài liệu nước ngoài MỚI (giai đoạn 2023–2026) về cách ứng phó lo âu ở học sinh trung học, phân theo 6 nhóm hướng can thiệp chính. Tất cả đều là tài liệu đã được phản biện chuyên môn (peer-reviewed), bao gồm tổng quan hệ thống, phân tích gộp, thử nghiệm có đối chứng ngẫu nhiên, và tổng quan phạm vi.</w:t>
      </w:r>
    </w:p>
    <w:p>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551" w:type="dxa"/>
            <w:shd w:fill="D9E2F3" w:val="clear"/>
          </w:tcPr>
          <w:p>
            <w:pPr>
              <w:jc w:val="center"/>
            </w:pPr>
            <w:r>
              <w:rPr>
                <w:rFonts w:ascii="Times New Roman" w:hAnsi="Times New Roman"/>
                <w:b/>
                <w:sz w:val="20"/>
              </w:rPr>
              <w:t>Hướng can thiệp</w:t>
            </w:r>
          </w:p>
        </w:tc>
        <w:tc>
          <w:tcPr>
            <w:tcW w:type="dxa" w:w="3230"/>
            <w:tcW w:w="850" w:type="dxa"/>
            <w:shd w:fill="D9E2F3" w:val="clear"/>
          </w:tcPr>
          <w:p>
            <w:pPr>
              <w:jc w:val="center"/>
            </w:pPr>
            <w:r>
              <w:rPr>
                <w:rFonts w:ascii="Times New Roman" w:hAnsi="Times New Roman"/>
                <w:b/>
                <w:sz w:val="20"/>
              </w:rPr>
              <w:t>Số bài</w:t>
            </w:r>
          </w:p>
        </w:tc>
        <w:tc>
          <w:tcPr>
            <w:tcW w:type="dxa" w:w="3230"/>
            <w:tcW w:w="5386" w:type="dxa"/>
            <w:shd w:fill="D9E2F3" w:val="clear"/>
          </w:tcPr>
          <w:p>
            <w:pPr>
              <w:jc w:val="center"/>
            </w:pPr>
            <w:r>
              <w:rPr>
                <w:rFonts w:ascii="Times New Roman" w:hAnsi="Times New Roman"/>
                <w:b/>
                <w:sz w:val="20"/>
              </w:rPr>
              <w:t>Bằng chứng nổi bật</w:t>
            </w:r>
          </w:p>
        </w:tc>
      </w:tr>
      <w:tr>
        <w:tc>
          <w:tcPr>
            <w:tcW w:type="dxa" w:w="3230"/>
            <w:tcW w:w="2551" w:type="dxa"/>
          </w:tcPr>
          <w:p>
            <w:r>
              <w:rPr>
                <w:rFonts w:ascii="Times New Roman" w:hAnsi="Times New Roman"/>
                <w:sz w:val="18"/>
              </w:rPr>
              <w:t>1. Quản lý căng thẳng dựa vào trường học</w:t>
            </w:r>
          </w:p>
        </w:tc>
        <w:tc>
          <w:tcPr>
            <w:tcW w:type="dxa" w:w="3230"/>
            <w:tcW w:w="850" w:type="dxa"/>
          </w:tcPr>
          <w:p>
            <w:r>
              <w:rPr>
                <w:rFonts w:ascii="Times New Roman" w:hAnsi="Times New Roman"/>
                <w:sz w:val="18"/>
              </w:rPr>
              <w:t>4</w:t>
            </w:r>
          </w:p>
        </w:tc>
        <w:tc>
          <w:tcPr>
            <w:tcW w:type="dxa" w:w="3230"/>
            <w:tcW w:w="5386" w:type="dxa"/>
          </w:tcPr>
          <w:p>
            <w:r>
              <w:rPr>
                <w:rFonts w:ascii="Times New Roman" w:hAnsi="Times New Roman"/>
                <w:sz w:val="18"/>
              </w:rPr>
              <w:t>Tổng quan hệ thống 38 thử nghiệm có đối chứng / 15.730 học sinh (Frontiers 2025); Tổng quan 31 nghiên cứu / 13 quốc gia (Springer 2024); Vogelaar 2024 Hà Lan n=1.613</w:t>
            </w:r>
          </w:p>
        </w:tc>
      </w:tr>
      <w:tr>
        <w:tc>
          <w:tcPr>
            <w:tcW w:type="dxa" w:w="3230"/>
            <w:tcW w:w="2551" w:type="dxa"/>
          </w:tcPr>
          <w:p>
            <w:r>
              <w:rPr>
                <w:rFonts w:ascii="Times New Roman" w:hAnsi="Times New Roman"/>
                <w:sz w:val="18"/>
              </w:rPr>
              <w:t>2. Chánh niệm (Mindfulness)</w:t>
            </w:r>
          </w:p>
        </w:tc>
        <w:tc>
          <w:tcPr>
            <w:tcW w:type="dxa" w:w="3230"/>
            <w:tcW w:w="850" w:type="dxa"/>
          </w:tcPr>
          <w:p>
            <w:r>
              <w:rPr>
                <w:rFonts w:ascii="Times New Roman" w:hAnsi="Times New Roman"/>
                <w:sz w:val="18"/>
              </w:rPr>
              <w:t>4</w:t>
            </w:r>
          </w:p>
        </w:tc>
        <w:tc>
          <w:tcPr>
            <w:tcW w:type="dxa" w:w="3230"/>
            <w:tcW w:w="5386" w:type="dxa"/>
          </w:tcPr>
          <w:p>
            <w:r>
              <w:rPr>
                <w:rFonts w:ascii="Times New Roman" w:hAnsi="Times New Roman"/>
                <w:sz w:val="18"/>
              </w:rPr>
              <w:t>Phân tích gộp 14 nghiên cứu / 1.489 học sinh — kích thước hiệu ứng tiêu chuẩn −0,14 cho lo âu; nghiên cứu cảnh báo của Fulambarkar 2023</w:t>
            </w:r>
          </w:p>
        </w:tc>
      </w:tr>
      <w:tr>
        <w:tc>
          <w:tcPr>
            <w:tcW w:type="dxa" w:w="3230"/>
            <w:tcW w:w="2551" w:type="dxa"/>
          </w:tcPr>
          <w:p>
            <w:r>
              <w:rPr>
                <w:rFonts w:ascii="Times New Roman" w:hAnsi="Times New Roman"/>
                <w:sz w:val="18"/>
              </w:rPr>
              <w:t>3. Đào tạo kỹ năng điều hoà cảm xúc</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Phân tích gộp d=0,37 cho can thiệp tâm lý xã hội (2024); chương trình kỹ năng điều hoà cảm xúc cho HS + cha mẹ (2024)</w:t>
            </w:r>
          </w:p>
        </w:tc>
      </w:tr>
      <w:tr>
        <w:tc>
          <w:tcPr>
            <w:tcW w:type="dxa" w:w="3230"/>
            <w:tcW w:w="2551" w:type="dxa"/>
          </w:tcPr>
          <w:p>
            <w:r>
              <w:rPr>
                <w:rFonts w:ascii="Times New Roman" w:hAnsi="Times New Roman"/>
                <w:sz w:val="18"/>
              </w:rPr>
              <w:t>4. Liệu pháp nhận thức – hành vi qua mạng (CBT số)</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Thử nghiệm có đối chứng đa trung tâm về CBT online cho lo âu xã hội dưới ngưỡng (JMIR 2024); tổng quan trò chơi điện tử trị liệu</w:t>
            </w:r>
          </w:p>
        </w:tc>
      </w:tr>
      <w:tr>
        <w:tc>
          <w:tcPr>
            <w:tcW w:type="dxa" w:w="3230"/>
            <w:tcW w:w="2551" w:type="dxa"/>
          </w:tcPr>
          <w:p>
            <w:r>
              <w:rPr>
                <w:rFonts w:ascii="Times New Roman" w:hAnsi="Times New Roman"/>
                <w:sz w:val="18"/>
              </w:rPr>
              <w:t>5. Hỗ trợ từ bạn đồng trang lứa</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Tổng quan phạm vi của Murphy 2024; tài liệu chính phủ Anh về hỗ trợ ngang hàng</w:t>
            </w:r>
          </w:p>
        </w:tc>
      </w:tr>
      <w:tr>
        <w:tc>
          <w:tcPr>
            <w:tcW w:type="dxa" w:w="3230"/>
            <w:tcW w:w="2551" w:type="dxa"/>
          </w:tcPr>
          <w:p>
            <w:r>
              <w:rPr>
                <w:rFonts w:ascii="Times New Roman" w:hAnsi="Times New Roman"/>
                <w:sz w:val="18"/>
              </w:rPr>
              <w:t>6. Bối cảnh châu Á – Trung Quốc</w:t>
            </w:r>
          </w:p>
        </w:tc>
        <w:tc>
          <w:tcPr>
            <w:tcW w:type="dxa" w:w="3230"/>
            <w:tcW w:w="850" w:type="dxa"/>
          </w:tcPr>
          <w:p>
            <w:r>
              <w:rPr>
                <w:rFonts w:ascii="Times New Roman" w:hAnsi="Times New Roman"/>
                <w:sz w:val="18"/>
              </w:rPr>
              <w:t>1</w:t>
            </w:r>
          </w:p>
        </w:tc>
        <w:tc>
          <w:tcPr>
            <w:tcW w:type="dxa" w:w="3230"/>
            <w:tcW w:w="5386" w:type="dxa"/>
          </w:tcPr>
          <w:p>
            <w:r>
              <w:rPr>
                <w:rFonts w:ascii="Times New Roman" w:hAnsi="Times New Roman"/>
                <w:sz w:val="18"/>
              </w:rPr>
              <w:t>Tổng quan phạm vi của Lancet Regional Health Western Pacific 2024 về phòng ngừa SKTT trường học ở Trung Quốc</w:t>
            </w:r>
          </w:p>
        </w:tc>
      </w:tr>
    </w:tbl>
    <w:p>
      <w:r>
        <w:rPr>
          <w:rFonts w:ascii="Times New Roman" w:hAnsi="Times New Roman"/>
          <w:b w:val="0"/>
          <w:i w:val="0"/>
          <w:sz w:val="24"/>
        </w:rPr>
      </w:r>
    </w:p>
    <w:p>
      <w:r>
        <w:rPr>
          <w:rFonts w:ascii="Times New Roman" w:hAnsi="Times New Roman"/>
          <w:b/>
          <w:i w:val="0"/>
          <w:sz w:val="26"/>
        </w:rPr>
        <w:t>KẾT LUẬN TỔNG HỢP:</w:t>
      </w:r>
    </w:p>
    <w:p>
      <w:r>
        <w:rPr>
          <w:rFonts w:ascii="Times New Roman" w:hAnsi="Times New Roman"/>
          <w:b/>
          <w:i w:val="0"/>
          <w:sz w:val="24"/>
        </w:rPr>
        <w:t>Bằng chứng giai đoạn 2023–2026 ủng hộ 5 hướng ứng phó lo âu cho học sinh trung học (theo thứ tự ĐỘ MẠNH BẰNG CHỨNG từ cao xuống thấp):</w:t>
      </w:r>
    </w:p>
    <w:p>
      <w:r>
        <w:rPr>
          <w:rFonts w:ascii="Times New Roman" w:hAnsi="Times New Roman"/>
          <w:b w:val="0"/>
          <w:i w:val="0"/>
          <w:sz w:val="24"/>
        </w:rPr>
        <w:t>(1) Quản lý căng thẳng dựa trên Liệu pháp nhận thức – hành vi (CBT) — kích thước hiệu ứng nhỏ đến trung bình, nhưng rất nhất quán xuyên suốt các nghiên cứu.</w:t>
      </w:r>
    </w:p>
    <w:p>
      <w:r>
        <w:rPr>
          <w:rFonts w:ascii="Times New Roman" w:hAnsi="Times New Roman"/>
          <w:b w:val="0"/>
          <w:i w:val="0"/>
          <w:sz w:val="24"/>
        </w:rPr>
        <w:t>(2) Đào tạo kỹ năng điều hoà cảm xúc (gồm các kỹ thuật từ liệu pháp DBT, ACT, CBT tập trung vào cảm xúc) — kích thước hiệu ứng khoảng 0,37 (mức trung bình).</w:t>
      </w:r>
    </w:p>
    <w:p>
      <w:r>
        <w:rPr>
          <w:rFonts w:ascii="Times New Roman" w:hAnsi="Times New Roman"/>
          <w:b w:val="0"/>
          <w:i w:val="0"/>
          <w:sz w:val="24"/>
        </w:rPr>
        <w:t>(3) Cơ chế tự giới thiệu/tự đăng ký có chỉ định (theo nghiên cứu BESST 2024 đã được dịch trong dự án) — đạt hiệu quả trung bình d=−0,52 cho nhóm có triệu chứng cao.</w:t>
      </w:r>
    </w:p>
    <w:p>
      <w:r>
        <w:rPr>
          <w:rFonts w:ascii="Times New Roman" w:hAnsi="Times New Roman"/>
          <w:b w:val="0"/>
          <w:i w:val="0"/>
          <w:sz w:val="24"/>
        </w:rPr>
        <w:t>(4) Liệu pháp nhận thức – hành vi qua mạng — có khả năng triển khai quy mô lớn nhưng tỉ lệ duy trì tham gia còn thấp khi không có người hướng dẫn.</w:t>
      </w:r>
    </w:p>
    <w:p>
      <w:r>
        <w:rPr>
          <w:rFonts w:ascii="Times New Roman" w:hAnsi="Times New Roman"/>
          <w:b w:val="0"/>
          <w:i w:val="0"/>
          <w:sz w:val="24"/>
        </w:rPr>
        <w:t>(5) Chánh niệm phổ quát (cho mọi học sinh không phân biệt) — hiệu ứng nhỏ (SMD = −0,14); cần thận trọng với mô hình thất bại của thử nghiệm MYRIAD UK với 8.376 học sinh.</w:t>
      </w:r>
    </w:p>
    <w:p>
      <w:r>
        <w:rPr>
          <w:rFonts w:ascii="Times New Roman" w:hAnsi="Times New Roman"/>
          <w:b w:val="0"/>
          <w:i w:val="0"/>
          <w:sz w:val="24"/>
        </w:rPr>
        <w:t>(6) Hỗ trợ từ bạn đồng trang lứa — hứa hẹn nhưng bằng chứng còn yếu, chưa đủ thử nghiệm có đối chứng.</w:t>
      </w:r>
    </w:p>
    <w:p>
      <w:r>
        <w:rPr>
          <w:rFonts w:ascii="Times New Roman" w:hAnsi="Times New Roman"/>
          <w:b w:val="0"/>
          <w:i w:val="0"/>
          <w:sz w:val="24"/>
        </w:rPr>
      </w:r>
    </w:p>
    <w:p>
      <w:r>
        <w:rPr>
          <w:rFonts w:ascii="Times New Roman" w:hAnsi="Times New Roman"/>
          <w:b/>
          <w:i w:val="0"/>
          <w:color w:val="0070C0"/>
          <w:sz w:val="24"/>
        </w:rPr>
        <w:t>KHUYẾN NGHỊ THỰC TIỄN: nên kết hợp đào tạo CBT + kỹ năng điều hoà cảm xúc + công cụ số hỗ trợ; KHÔNG nên đầu tư mạnh vào chánh niệm phổ quát do giáo viên dẫn dắt (đã được chứng minh thất bại quy mô lớn ở UK).</w:t>
      </w:r>
    </w:p>
    <w:p>
      <w:r>
        <w:rPr>
          <w:rFonts w:ascii="Times New Roman" w:hAnsi="Times New Roman"/>
          <w:b/>
          <w:color w:val="0070C0"/>
          <w:sz w:val="30"/>
        </w:rPr>
        <w:t>PHẦN 2 — CHI TIẾT 15 NGHIÊN CỨU THEO 6 NHÓM</w:t>
      </w:r>
    </w:p>
    <w:p>
      <w:r>
        <w:rPr>
          <w:rFonts w:ascii="Times New Roman" w:hAnsi="Times New Roman"/>
          <w:b/>
          <w:color w:val="0070C0"/>
          <w:sz w:val="30"/>
        </w:rPr>
        <w:t>NHÓM 1 — Quản lý căng thẳng dựa vào trường học</w:t>
      </w:r>
    </w:p>
    <w:p>
      <w:r>
        <w:rPr>
          <w:rFonts w:ascii="Times New Roman" w:hAnsi="Times New Roman"/>
          <w:b w:val="0"/>
          <w:i w:val="0"/>
          <w:sz w:val="24"/>
        </w:rPr>
        <w:t>Đây là nhóm bằng chứng MẠNH NHẤT — gồm các tổng quan hệ thống / phân tích gộp lớn và các thử nghiệm có đối chứng quy mô đa trung tâm.</w:t>
      </w:r>
    </w:p>
    <w:p>
      <w:r>
        <w:rPr>
          <w:rFonts w:ascii="Times New Roman" w:hAnsi="Times New Roman"/>
          <w:b/>
          <w:color w:val="0070C0"/>
          <w:sz w:val="26"/>
        </w:rPr>
        <w:t>Bài 1.1 — Tổng quan hệ thống &amp; Phân tích gộp 38 thử nghiệm có đối chứng (2025)</w:t>
      </w:r>
    </w:p>
    <w:p>
      <w:r>
        <w:rPr>
          <w:rFonts w:ascii="Times New Roman" w:hAnsi="Times New Roman"/>
          <w:b/>
          <w:sz w:val="24"/>
        </w:rPr>
        <w:t xml:space="preserve">Tên bài: </w:t>
      </w:r>
      <w:r>
        <w:rPr>
          <w:rFonts w:ascii="Times New Roman" w:hAnsi="Times New Roman"/>
          <w:sz w:val="24"/>
        </w:rPr>
        <w:t>School-based interventions for resilience in children and adolescents: a systematic review and meta-analysis of randomized controlled trials</w:t>
      </w:r>
    </w:p>
    <w:p>
      <w:r>
        <w:rPr>
          <w:rFonts w:ascii="Times New Roman" w:hAnsi="Times New Roman"/>
          <w:b/>
          <w:sz w:val="24"/>
        </w:rPr>
        <w:t xml:space="preserve">Tạm dịch: </w:t>
      </w:r>
      <w:r>
        <w:rPr>
          <w:rFonts w:ascii="Times New Roman" w:hAnsi="Times New Roman"/>
          <w:sz w:val="24"/>
        </w:rPr>
        <w:t>Các can thiệp dựa vào trường học nhằm tăng khả năng thích ứng (resilience) ở trẻ em và vị thành niên: tổng quan hệ thống và phân tích gộp các thử nghiệm có đối chứng ngẫu nhiên</w:t>
      </w:r>
    </w:p>
    <w:p>
      <w:r>
        <w:rPr>
          <w:rFonts w:ascii="Times New Roman" w:hAnsi="Times New Roman"/>
          <w:b/>
          <w:sz w:val="24"/>
        </w:rPr>
        <w:t xml:space="preserve">Tạp chí: </w:t>
      </w:r>
      <w:r>
        <w:rPr>
          <w:rFonts w:ascii="Times New Roman" w:hAnsi="Times New Roman"/>
          <w:sz w:val="24"/>
        </w:rPr>
        <w:t>Frontiers in Psychiatry — chuyên mục Sức khỏe tâm thần công cộng (2025)</w:t>
      </w:r>
    </w:p>
    <w:p>
      <w:r>
        <w:rPr>
          <w:rFonts w:ascii="Times New Roman" w:hAnsi="Times New Roman"/>
          <w:b/>
          <w:sz w:val="24"/>
        </w:rPr>
        <w:t xml:space="preserve">Mã định danh: </w:t>
      </w:r>
      <w:r>
        <w:rPr>
          <w:rFonts w:ascii="Times New Roman" w:hAnsi="Times New Roman"/>
          <w:sz w:val="24"/>
        </w:rPr>
        <w:t>DOI: 10.3389/fpsyt.2025.1594658 — Mã PubMed Central: PMC12127306</w:t>
      </w:r>
    </w:p>
    <w:p>
      <w:r>
        <w:rPr>
          <w:rFonts w:ascii="Times New Roman" w:hAnsi="Times New Roman"/>
          <w:b/>
          <w:sz w:val="24"/>
        </w:rPr>
        <w:t xml:space="preserve">Phương pháp: </w:t>
      </w:r>
      <w:r>
        <w:rPr>
          <w:rFonts w:ascii="Times New Roman" w:hAnsi="Times New Roman"/>
          <w:sz w:val="24"/>
        </w:rPr>
        <w:t>Tổng quan hệ thống 38 thử nghiệm có đối chứng ngẫu nhiên với tổng cộng 15.730 người tham gia (trẻ em + vị thành niên). Các thử nghiệm bao gồm nhiều dạng can thiệp khác nhau: chánh niệm, liệu pháp nhận thức – hành vi, học tập về cảm xúc – xã hội (Social-Emotional Learning), các chương trình tăng khả năng thích ứng (resilience) chuyên biệt.</w:t>
      </w:r>
    </w:p>
    <w:p>
      <w:r>
        <w:rPr>
          <w:rFonts w:ascii="Times New Roman" w:hAnsi="Times New Roman"/>
          <w:b/>
          <w:sz w:val="24"/>
        </w:rPr>
        <w:t xml:space="preserve">Phát hiện chính: </w:t>
      </w:r>
      <w:r>
        <w:rPr>
          <w:rFonts w:ascii="Times New Roman" w:hAnsi="Times New Roman"/>
          <w:sz w:val="24"/>
        </w:rPr>
        <w:t>Học sinh có khả năng thích ứng cao hơn có xu hướng phản ứng tích cực với các tình huống căng thẳng và sử dụng các chiến lược ứng phó thích nghi tốt hơn — nhờ đó giảm nguy cơ phát triển các cảm xúc tiêu cực như lo âu và trầm cảm. Tích hợp đồng thời 3 thành phần (hiểu biết về sức khỏe tâm thần + kỹ thuật quản lý căng thẳng + học tập về cảm xúc – xã hội) vào chương trình giảng dạy ở trường giúp cải thiện rõ rệt khả năng phục hồi cảm xúc, giảm căng thẳng học tập, và xây dựng các mối quan hệ xã hội tích cực.</w:t>
      </w:r>
    </w:p>
    <w:p>
      <w:pPr>
        <w:ind w:left="283"/>
      </w:pPr>
      <w:r>
        <w:rPr>
          <w:rFonts w:ascii="Times New Roman" w:hAnsi="Times New Roman"/>
          <w:b/>
          <w:color w:val="C00000"/>
          <w:sz w:val="22"/>
        </w:rPr>
        <w:t xml:space="preserve">[Lưu ý] </w:t>
      </w:r>
      <w:r>
        <w:rPr>
          <w:rFonts w:ascii="Times New Roman" w:hAnsi="Times New Roman"/>
          <w:color w:val="C00000"/>
          <w:sz w:val="22"/>
        </w:rPr>
        <w:t>38 thử nghiệm với 15.730 học sinh là quy mô RẤT LỚN — bằng chứng cấp 1 (cao nhất theo thang Oxford CEBM 2011). Tuy nhiên các thử nghiệm thuộc nhiều dạng can thiệp khác nhau nên độ không đồng nhất (heterogeneity) cao, kích thước hiệu ứng gộp khó diễn giải đơn lẻ. Cần đọc chi tiết phân tích phụ (subgroup analysis) để biết hướng nào hiệu quả nhất.</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Kết quả này ủng hộ Bộ Giáo dục và Đào tạo Việt Nam tích hợp 3 thành phần trên vào tiết Hoạt động trải nghiệm – Hướng nghiệp (HĐTN-HN) hoặc Giáo dục công dân lớp 10–12. Có thể tham khảo nội dung mẫu trong các thử nghiệm thuộc tổng quan này để xây dựng chương trình bản địa hoá.</w:t>
      </w:r>
    </w:p>
    <w:p>
      <w:r>
        <w:rPr>
          <w:rFonts w:ascii="Times New Roman" w:hAnsi="Times New Roman"/>
          <w:b/>
          <w:color w:val="0070C0"/>
          <w:sz w:val="26"/>
        </w:rPr>
        <w:t>Bài 1.2 — Tổng quan hệ thống các can thiệp giảm căng thẳng học tập ở trường THPT (2024)</w:t>
      </w:r>
    </w:p>
    <w:p>
      <w:r>
        <w:rPr>
          <w:rFonts w:ascii="Times New Roman" w:hAnsi="Times New Roman"/>
          <w:b/>
          <w:sz w:val="24"/>
        </w:rPr>
        <w:t xml:space="preserve">Tên bài: </w:t>
      </w:r>
      <w:r>
        <w:rPr>
          <w:rFonts w:ascii="Times New Roman" w:hAnsi="Times New Roman"/>
          <w:sz w:val="24"/>
        </w:rPr>
        <w:t>Academic Stress Interventions in High Schools: A Systematic Literature Review</w:t>
      </w:r>
    </w:p>
    <w:p>
      <w:r>
        <w:rPr>
          <w:rFonts w:ascii="Times New Roman" w:hAnsi="Times New Roman"/>
          <w:b/>
          <w:sz w:val="24"/>
        </w:rPr>
        <w:t xml:space="preserve">Tạm dịch: </w:t>
      </w:r>
      <w:r>
        <w:rPr>
          <w:rFonts w:ascii="Times New Roman" w:hAnsi="Times New Roman"/>
          <w:sz w:val="24"/>
        </w:rPr>
        <w:t>Các can thiệp giảm căng thẳng học tập ở trường trung học phổ thông: Tổng quan tài liệu hệ thống</w:t>
      </w:r>
    </w:p>
    <w:p>
      <w:r>
        <w:rPr>
          <w:rFonts w:ascii="Times New Roman" w:hAnsi="Times New Roman"/>
          <w:b/>
          <w:sz w:val="24"/>
        </w:rPr>
        <w:t xml:space="preserve">Tạp chí: </w:t>
      </w:r>
      <w:r>
        <w:rPr>
          <w:rFonts w:ascii="Times New Roman" w:hAnsi="Times New Roman"/>
          <w:sz w:val="24"/>
        </w:rPr>
        <w:t>Child Psychiatry &amp; Human Development (Springer Nature) — 2024</w:t>
      </w:r>
    </w:p>
    <w:p>
      <w:r>
        <w:rPr>
          <w:rFonts w:ascii="Times New Roman" w:hAnsi="Times New Roman"/>
          <w:b/>
          <w:sz w:val="24"/>
        </w:rPr>
        <w:t xml:space="preserve">Mã định danh: </w:t>
      </w:r>
      <w:r>
        <w:rPr>
          <w:rFonts w:ascii="Times New Roman" w:hAnsi="Times New Roman"/>
          <w:sz w:val="24"/>
        </w:rPr>
        <w:t>DOI: 10.1007/s10578-024-01667-5 — Mã PubMed Central: PMC12628395</w:t>
      </w:r>
    </w:p>
    <w:p>
      <w:r>
        <w:rPr>
          <w:rFonts w:ascii="Times New Roman" w:hAnsi="Times New Roman"/>
          <w:b/>
          <w:sz w:val="24"/>
        </w:rPr>
        <w:t xml:space="preserve">Phương pháp: </w:t>
      </w:r>
      <w:r>
        <w:rPr>
          <w:rFonts w:ascii="Times New Roman" w:hAnsi="Times New Roman"/>
          <w:sz w:val="24"/>
        </w:rPr>
        <w:t>Tổng quan 31 nghiên cứu phù hợp tiêu chí, trải dài 13 quốc gia, về các can thiệp giúp giảm hoặc phòng ngừa căng thẳng học tập ở học sinh trung học phổ thông.</w:t>
      </w:r>
    </w:p>
    <w:p>
      <w:r>
        <w:rPr>
          <w:rFonts w:ascii="Times New Roman" w:hAnsi="Times New Roman"/>
          <w:b/>
          <w:sz w:val="24"/>
        </w:rPr>
        <w:t xml:space="preserve">Phát hiện chính: </w:t>
      </w:r>
      <w:r>
        <w:rPr>
          <w:rFonts w:ascii="Times New Roman" w:hAnsi="Times New Roman"/>
          <w:sz w:val="24"/>
        </w:rPr>
        <w:t>Các yếu tố gây căng thẳng chính được học sinh báo cáo: khối lượng bài vở, áp lực thi cử, áp lực từ bạn bè, kỳ vọng từ phụ huynh và giáo viên. Các chiến lược ứng phó tự phát mà học sinh thường dùng (tự báo cáo): (a) hỗ trợ xã hội từ bạn đồng trang lứa, (b) tập thể dục/vận động, (c) các kỹ thuật thư giãn như thiền, (d) giải quyết vấn đề có hệ thống, (e) tái cấu trúc nhận thức (thay đổi cách nghĩ về tình huống căng thẳng).</w:t>
      </w:r>
    </w:p>
    <w:p>
      <w:pPr>
        <w:ind w:left="283"/>
      </w:pPr>
      <w:r>
        <w:rPr>
          <w:rFonts w:ascii="Times New Roman" w:hAnsi="Times New Roman"/>
          <w:b/>
          <w:color w:val="C00000"/>
          <w:sz w:val="22"/>
        </w:rPr>
        <w:t xml:space="preserve">[Lưu ý] </w:t>
      </w:r>
      <w:r>
        <w:rPr>
          <w:rFonts w:ascii="Times New Roman" w:hAnsi="Times New Roman"/>
          <w:color w:val="C00000"/>
          <w:sz w:val="22"/>
        </w:rPr>
        <w:t>31 nghiên cứu trải 13 quốc gia là dữ liệu đa dạng. Tuy nhiên các "chiến lược ứng phó" được đo qua tự báo cáo trong các nghiên cứu cắt ngang, không thể kết luận quan hệ nhân – quả (kiểu "chiến lược X dẫn đến giảm lo âu"). Để có kết luận nhân – quả cần thử nghiệm có đối chứng riêng cho từng chiến lược.</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Có thể xây dựng tài liệu cho giáo viên/cán bộ tư vấn học đường VN dựa trên 5 chiến lược ứng phó nói trên: thiết kế thành 5 chuyên đề, mỗi chuyên đề 1 tiết HĐTN. Đặc biệt phù hợp lớp 11–12 do áp lực thi đại học cao.</w:t>
      </w:r>
    </w:p>
    <w:p>
      <w:r>
        <w:rPr>
          <w:rFonts w:ascii="Times New Roman" w:hAnsi="Times New Roman"/>
          <w:b/>
          <w:color w:val="0070C0"/>
          <w:sz w:val="26"/>
        </w:rPr>
        <w:t>Bài 1.3 — Thử nghiệm có đối chứng "Bài học về căng thẳng" của Vogelaar (2024)</w:t>
      </w:r>
    </w:p>
    <w:p>
      <w:r>
        <w:rPr>
          <w:rFonts w:ascii="Times New Roman" w:hAnsi="Times New Roman"/>
          <w:b/>
          <w:sz w:val="24"/>
        </w:rPr>
        <w:t xml:space="preserve">Tên bài đầy đủ: </w:t>
      </w:r>
      <w:r>
        <w:rPr>
          <w:rFonts w:ascii="Times New Roman" w:hAnsi="Times New Roman"/>
          <w:sz w:val="24"/>
        </w:rPr>
        <w:t>Theo trích dẫn từ phân tích gộp 2024 (Journal of School Psychology 105) — Vogelaar et al. (2024). Đánh giá hiệu quả chương trình tâm lý giáo dục "Stress Lessons" trên học sinh vị thành niên Hà Lan.</w:t>
      </w:r>
    </w:p>
    <w:p>
      <w:r>
        <w:rPr>
          <w:rFonts w:ascii="Times New Roman" w:hAnsi="Times New Roman"/>
          <w:b/>
          <w:sz w:val="24"/>
        </w:rPr>
        <w:t xml:space="preserve">Tạp chí: </w:t>
      </w:r>
      <w:r>
        <w:rPr>
          <w:rFonts w:ascii="Times New Roman" w:hAnsi="Times New Roman"/>
          <w:sz w:val="24"/>
        </w:rPr>
        <w:t>Journal of School Psychology, Vol 105 (2024)</w:t>
      </w:r>
    </w:p>
    <w:p>
      <w:r>
        <w:rPr>
          <w:rFonts w:ascii="Times New Roman" w:hAnsi="Times New Roman"/>
          <w:b/>
          <w:sz w:val="24"/>
        </w:rPr>
        <w:t xml:space="preserve">Đường dẫn: </w:t>
      </w:r>
      <w:r>
        <w:rPr>
          <w:rFonts w:ascii="Times New Roman" w:hAnsi="Times New Roman"/>
          <w:sz w:val="24"/>
        </w:rPr>
        <w:t>https://www.sciencedirect.com/science/article/pii/S0022440524000724</w:t>
      </w:r>
    </w:p>
    <w:p>
      <w:r>
        <w:rPr>
          <w:rFonts w:ascii="Times New Roman" w:hAnsi="Times New Roman"/>
          <w:b/>
          <w:sz w:val="24"/>
        </w:rPr>
        <w:t xml:space="preserve">Phương pháp: </w:t>
      </w:r>
      <w:r>
        <w:rPr>
          <w:rFonts w:ascii="Times New Roman" w:hAnsi="Times New Roman"/>
          <w:sz w:val="24"/>
        </w:rPr>
        <w:t>Thử nghiệm có đối chứng ngẫu nhiên theo cụm với 1.613 học sinh vị thành niên Hà Lan. Chương trình "Bài học về căng thẳng" gồm 3 buổi học, 1 buổi/tuần, 45 phút mỗi buổi. Mục tiêu: giảm căng thẳng tổng thể + căng thẳng ở trường và tăng hiểu biết về căng thẳng.</w:t>
      </w:r>
    </w:p>
    <w:p>
      <w:pPr>
        <w:ind w:left="283"/>
      </w:pPr>
      <w:r>
        <w:rPr>
          <w:rFonts w:ascii="Times New Roman" w:hAnsi="Times New Roman"/>
          <w:b/>
          <w:color w:val="C00000"/>
          <w:sz w:val="22"/>
        </w:rPr>
        <w:t xml:space="preserve">[Lưu ý] </w:t>
      </w:r>
      <w:r>
        <w:rPr>
          <w:rFonts w:ascii="Times New Roman" w:hAnsi="Times New Roman"/>
          <w:color w:val="C00000"/>
          <w:sz w:val="22"/>
        </w:rPr>
        <w:t>Chỉ 3 buổi học × 45 phút là cường độ THẤP. Đây là chương trình tâm lý giáo dục thuần tuý (cung cấp kiến thức), KHÔNG có thành phần luyện tập kỹ năng Liệu pháp nhận thức – hành vi (CBT). Hiệu ứng dự kiến nhỏ.</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Mô hình 3 buổi × 45 phút phù hợp tích hợp vào tiết HĐTN ở Việt Nam (1 tiết = 45 phút). Tuy nhiên nên kết hợp thêm 1–2 buổi luyện kỹ năng CBT thực tế để tăng hiệu quả, vì nếu chỉ truyền đạt kiến thức thì học sinh khó áp dụng vào tình huống thực tế.</w:t>
      </w:r>
    </w:p>
    <w:p>
      <w:r>
        <w:rPr>
          <w:rFonts w:ascii="Times New Roman" w:hAnsi="Times New Roman"/>
          <w:b/>
          <w:color w:val="0070C0"/>
          <w:sz w:val="26"/>
        </w:rPr>
        <w:t>Bài 1.4 — Chương trình "Sức mạnh ứng phó cho vị thành niên sớm" (Lochman 2025)</w:t>
      </w:r>
    </w:p>
    <w:p>
      <w:r>
        <w:rPr>
          <w:rFonts w:ascii="Times New Roman" w:hAnsi="Times New Roman"/>
          <w:b/>
          <w:sz w:val="24"/>
        </w:rPr>
        <w:t xml:space="preserve">Tên bài: </w:t>
      </w:r>
      <w:r>
        <w:rPr>
          <w:rFonts w:ascii="Times New Roman" w:hAnsi="Times New Roman"/>
          <w:sz w:val="24"/>
        </w:rPr>
        <w:t>Randomized controlled trial of the early adolescent coping power program: Effects on emotional and behavioral problems in middle schoolers</w:t>
      </w:r>
    </w:p>
    <w:p>
      <w:r>
        <w:rPr>
          <w:rFonts w:ascii="Times New Roman" w:hAnsi="Times New Roman"/>
          <w:b/>
          <w:sz w:val="24"/>
        </w:rPr>
        <w:t xml:space="preserve">Tạm dịch: </w:t>
      </w:r>
      <w:r>
        <w:rPr>
          <w:rFonts w:ascii="Times New Roman" w:hAnsi="Times New Roman"/>
          <w:sz w:val="24"/>
        </w:rPr>
        <w:t>Thử nghiệm có đối chứng ngẫu nhiên về chương trình Sức mạnh ứng phó cho vị thành niên sớm: tác động lên các vấn đề cảm xúc và hành vi ở học sinh trung học cơ sở</w:t>
      </w:r>
    </w:p>
    <w:p>
      <w:r>
        <w:rPr>
          <w:rFonts w:ascii="Times New Roman" w:hAnsi="Times New Roman"/>
          <w:b/>
          <w:sz w:val="24"/>
        </w:rPr>
        <w:t xml:space="preserve">Tạp chí: </w:t>
      </w:r>
      <w:r>
        <w:rPr>
          <w:rFonts w:ascii="Times New Roman" w:hAnsi="Times New Roman"/>
          <w:sz w:val="24"/>
        </w:rPr>
        <w:t>Journal of School Psychology (2025)</w:t>
      </w:r>
    </w:p>
    <w:p>
      <w:r>
        <w:rPr>
          <w:rFonts w:ascii="Times New Roman" w:hAnsi="Times New Roman"/>
          <w:b/>
          <w:sz w:val="24"/>
        </w:rPr>
        <w:t xml:space="preserve">Đường dẫn: </w:t>
      </w:r>
      <w:r>
        <w:rPr>
          <w:rFonts w:ascii="Times New Roman" w:hAnsi="Times New Roman"/>
          <w:sz w:val="24"/>
        </w:rPr>
        <w:t>https://www.sciencedirect.com/science/article/abs/pii/S002244052500010X</w:t>
      </w:r>
    </w:p>
    <w:p>
      <w:r>
        <w:rPr>
          <w:rFonts w:ascii="Times New Roman" w:hAnsi="Times New Roman"/>
          <w:b/>
          <w:sz w:val="24"/>
        </w:rPr>
        <w:t xml:space="preserve">Phương pháp: </w:t>
      </w:r>
      <w:r>
        <w:rPr>
          <w:rFonts w:ascii="Times New Roman" w:hAnsi="Times New Roman"/>
          <w:sz w:val="24"/>
        </w:rPr>
        <w:t>Thử nghiệm có đối chứng ngẫu nhiên theo nhóm cấp trường, đối tượng là học sinh lớp 7 (tương đương lớp 7 ở Việt Nam) tại 40 trường trung học cơ sở thuộc các bang Alabama và Maryland (Mỹ). Can thiệp là phiên bản cho vị thành niên sớm của chương trình "Sức mạnh ứng phó" (Coping Power) đã có hơn 30 năm bằng chứng.</w:t>
      </w:r>
    </w:p>
    <w:p>
      <w:pPr>
        <w:ind w:left="283"/>
      </w:pPr>
      <w:r>
        <w:rPr>
          <w:rFonts w:ascii="Times New Roman" w:hAnsi="Times New Roman"/>
          <w:b/>
          <w:color w:val="C00000"/>
          <w:sz w:val="22"/>
        </w:rPr>
        <w:t xml:space="preserve">[Lưu ý] </w:t>
      </w:r>
      <w:r>
        <w:rPr>
          <w:rFonts w:ascii="Times New Roman" w:hAnsi="Times New Roman"/>
          <w:color w:val="C00000"/>
          <w:sz w:val="22"/>
        </w:rPr>
        <w:t>Chương trình Sức mạnh ứng phó (Lochman &amp; Wells từ những năm 1990) đã có nhiều bằng chứng cho học sinh tiểu học. Phiên bản này là điều chỉnh cho vị thành niên sớm (11–13 tuổi). Kích thước hiệu ứng dự kiến ở mức nhỏ – trung bình.</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Chương trình Coping Power có sách hướng dẫn (manual) đầy đủ — Việt Nam có thể nhập giấy phép sử dụng để bản địa hoá cho học sinh lớp 6–8 (tương đương vị thành niên sớm). Cần đào tạo bài bản cho giáo viên tư vấn học đường + có giám sát chuyên môn từ chuyên gia tâm lý.</w:t>
      </w:r>
    </w:p>
    <w:p>
      <w:r>
        <w:rPr>
          <w:rFonts w:ascii="Times New Roman" w:hAnsi="Times New Roman"/>
          <w:b/>
          <w:color w:val="0070C0"/>
          <w:sz w:val="30"/>
        </w:rPr>
        <w:t>NHÓM 2 — Chánh niệm</w:t>
      </w:r>
    </w:p>
    <w:p>
      <w:r>
        <w:rPr>
          <w:rFonts w:ascii="Times New Roman" w:hAnsi="Times New Roman"/>
          <w:b/>
          <w:color w:val="0070C0"/>
          <w:sz w:val="26"/>
        </w:rPr>
        <w:t>Bài 2.1 — Phân tích gộp 14 nghiên cứu về chánh niệm (2025)</w:t>
      </w:r>
    </w:p>
    <w:p>
      <w:r>
        <w:rPr>
          <w:rFonts w:ascii="Times New Roman" w:hAnsi="Times New Roman"/>
          <w:b/>
          <w:sz w:val="24"/>
        </w:rPr>
        <w:t xml:space="preserve">Tên bài: </w:t>
      </w:r>
      <w:r>
        <w:rPr>
          <w:rFonts w:ascii="Times New Roman" w:hAnsi="Times New Roman"/>
          <w:sz w:val="24"/>
        </w:rPr>
        <w:t>Mindfulness in Mental Health and Psychiatric Disorders of Children and Adolescents: A Systematic Review and Meta-Analysis of Randomized Controlled Trials</w:t>
      </w:r>
    </w:p>
    <w:p>
      <w:r>
        <w:rPr>
          <w:rFonts w:ascii="Times New Roman" w:hAnsi="Times New Roman"/>
          <w:b/>
          <w:sz w:val="24"/>
        </w:rPr>
        <w:t xml:space="preserve">Tạm dịch: </w:t>
      </w:r>
      <w:r>
        <w:rPr>
          <w:rFonts w:ascii="Times New Roman" w:hAnsi="Times New Roman"/>
          <w:sz w:val="24"/>
        </w:rPr>
        <w:t>Chánh niệm trong sức khỏe tâm thần và rối loạn tâm thần ở trẻ em và vị thành niên: Tổng quan hệ thống và phân tích gộp các thử nghiệm có đối chứng ngẫu nhiên</w:t>
      </w:r>
    </w:p>
    <w:p>
      <w:r>
        <w:rPr>
          <w:rFonts w:ascii="Times New Roman" w:hAnsi="Times New Roman"/>
          <w:b/>
          <w:sz w:val="24"/>
        </w:rPr>
        <w:t xml:space="preserve">Tạp chí: </w:t>
      </w:r>
      <w:r>
        <w:rPr>
          <w:rFonts w:ascii="Times New Roman" w:hAnsi="Times New Roman"/>
          <w:sz w:val="24"/>
        </w:rPr>
        <w:t>Pediatric Reports (MDPI) — Vol 17(3), Bài 59 (2025)</w:t>
      </w:r>
    </w:p>
    <w:p>
      <w:r>
        <w:rPr>
          <w:rFonts w:ascii="Times New Roman" w:hAnsi="Times New Roman"/>
          <w:b/>
          <w:sz w:val="24"/>
        </w:rPr>
        <w:t xml:space="preserve">Đường dẫn: </w:t>
      </w:r>
      <w:r>
        <w:rPr>
          <w:rFonts w:ascii="Times New Roman" w:hAnsi="Times New Roman"/>
          <w:sz w:val="24"/>
        </w:rPr>
        <w:t>https://www.mdpi.com/2036-7503/17/3/59</w:t>
      </w:r>
    </w:p>
    <w:p>
      <w:r>
        <w:rPr>
          <w:rFonts w:ascii="Times New Roman" w:hAnsi="Times New Roman"/>
          <w:b/>
          <w:sz w:val="24"/>
        </w:rPr>
        <w:t xml:space="preserve">Phát hiện chính: </w:t>
      </w:r>
      <w:r>
        <w:rPr>
          <w:rFonts w:ascii="Times New Roman" w:hAnsi="Times New Roman"/>
          <w:sz w:val="24"/>
        </w:rPr>
        <w:t>Phân tích gộp 14 nghiên cứu / tổng cộng 1.489 người tham gia. Chánh niệm theo chương trình "Giảm căng thẳng dựa trên chánh niệm" (Mindfulness-Based Stress Reduction — MBSR) làm giảm triệu chứng lo âu so với nhóm đối chứng với KÍCH THƯỚC HIỆU ỨNG CHUẨN HOÁ = −0,14 (khoảng tin cậy 95% từ −0,24 đến −0,04) ngay sau khi kết thúc trị liệu. Mức hiệu ứng này được xếp vào loại NHỎ (mức tham chiếu của Cohen: 0,2 = nhỏ, 0,5 = trung bình, 0,8 = lớn).</w:t>
      </w:r>
    </w:p>
    <w:p>
      <w:pPr>
        <w:ind w:left="283"/>
      </w:pPr>
      <w:r>
        <w:rPr>
          <w:rFonts w:ascii="Times New Roman" w:hAnsi="Times New Roman"/>
          <w:b/>
          <w:color w:val="C00000"/>
          <w:sz w:val="22"/>
        </w:rPr>
        <w:t xml:space="preserve">[Lưu ý] </w:t>
      </w:r>
      <w:r>
        <w:rPr>
          <w:rFonts w:ascii="Times New Roman" w:hAnsi="Times New Roman"/>
          <w:color w:val="C00000"/>
          <w:sz w:val="22"/>
        </w:rPr>
        <w:t>Hiệu ứng −0,14 là RẤT NHỎ — dưới ngưỡng "có ý nghĩa lâm sàng" 0,2 của Cohen. Chánh niệm có hiệu ứng thấp hơn liệu pháp nhận thức – hành vi (CBT thường đạt 0,3–0,5). Phù hợp với phát hiện của thử nghiệm MYRIAD ở Anh (n=8.376) — kết quả không có hiệu ứng (null effect) khi áp dụng chánh niệm phổ quát do giáo viên dẫn dắt.</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Việt Nam nên CẨN THẬN với chánh niệm phổ quát do giáo viên dẫn dắt — không nên là can thiệp chính. Có thể dùng làm hoạt động BỔ TRỢ 5–10 phút mỗi ngày trong tiết HĐTN hoặc đầu giờ học để rèn chú ý.</w:t>
      </w:r>
    </w:p>
    <w:p>
      <w:r>
        <w:rPr>
          <w:rFonts w:ascii="Times New Roman" w:hAnsi="Times New Roman"/>
          <w:b/>
          <w:color w:val="0070C0"/>
          <w:sz w:val="26"/>
        </w:rPr>
        <w:t>Bài 2.2 — Thử nghiệm có đối chứng về chánh niệm 8 tuần cho HS 13–15 tuổi (2025)</w:t>
      </w:r>
    </w:p>
    <w:p>
      <w:r>
        <w:rPr>
          <w:rFonts w:ascii="Times New Roman" w:hAnsi="Times New Roman"/>
          <w:b/>
          <w:sz w:val="24"/>
        </w:rPr>
        <w:t xml:space="preserve">Mã định danh: </w:t>
      </w:r>
      <w:r>
        <w:rPr>
          <w:rFonts w:ascii="Times New Roman" w:hAnsi="Times New Roman"/>
          <w:sz w:val="24"/>
        </w:rPr>
        <w:t>PMC12173555</w:t>
      </w:r>
    </w:p>
    <w:p>
      <w:r>
        <w:rPr>
          <w:rFonts w:ascii="Times New Roman" w:hAnsi="Times New Roman"/>
          <w:b/>
          <w:sz w:val="24"/>
        </w:rPr>
        <w:t xml:space="preserve">Đường dẫn: </w:t>
      </w:r>
      <w:r>
        <w:rPr>
          <w:rFonts w:ascii="Times New Roman" w:hAnsi="Times New Roman"/>
          <w:sz w:val="24"/>
        </w:rPr>
        <w:t>https://pmc.ncbi.nlm.nih.gov/articles/PMC12173555/</w:t>
      </w:r>
    </w:p>
    <w:p>
      <w:r>
        <w:rPr>
          <w:rFonts w:ascii="Times New Roman" w:hAnsi="Times New Roman"/>
          <w:b/>
          <w:sz w:val="24"/>
        </w:rPr>
        <w:t xml:space="preserve">Phương pháp: </w:t>
      </w:r>
      <w:r>
        <w:rPr>
          <w:rFonts w:ascii="Times New Roman" w:hAnsi="Times New Roman"/>
          <w:sz w:val="24"/>
        </w:rPr>
        <w:t>Thử nghiệm có đối chứng ngẫu nhiên trên mẫu không có chẩn đoán lâm sàng (non-clinical) gồm vị thành niên 13–15 tuổi. Can thiệp gồm 8 tuần huấn luyện chánh niệm + 4 tuần củng cố hằng tuần (gọi là "booster"). Đo lường các triệu chứng nội tâm hoá (lo âu, trầm cảm), trạng thái cảm xúc, và các chiến lược điều hoà cảm xúc.</w:t>
      </w:r>
    </w:p>
    <w:p>
      <w:pPr>
        <w:ind w:left="283"/>
      </w:pPr>
      <w:r>
        <w:rPr>
          <w:rFonts w:ascii="Times New Roman" w:hAnsi="Times New Roman"/>
          <w:b/>
          <w:color w:val="C00000"/>
          <w:sz w:val="22"/>
        </w:rPr>
        <w:t xml:space="preserve">[Lưu ý] </w:t>
      </w:r>
      <w:r>
        <w:rPr>
          <w:rFonts w:ascii="Times New Roman" w:hAnsi="Times New Roman"/>
          <w:color w:val="C00000"/>
          <w:sz w:val="22"/>
        </w:rPr>
        <w:t>Phần củng cố 4 tuần là điểm thú vị — nhiều thử nghiệm chánh niệm trước đây không có giai đoạn này nên hiệu quả tan nhanh sau khi kết thúc can thiệp. Cần đọc bản đầy đủ để xem giai đoạn củng cố có giúp duy trì hiệu quả không.</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Mô hình 8 tuần + 4 tuần củng cố phù hợp với học kỳ ở Việt Nam (1 học kỳ khoảng 16 tuần). Có thể bản địa hoá cho học sinh trung học cơ sở lớp 8–9.</w:t>
      </w:r>
    </w:p>
    <w:p>
      <w:r>
        <w:rPr>
          <w:rFonts w:ascii="Times New Roman" w:hAnsi="Times New Roman"/>
          <w:b/>
          <w:color w:val="0070C0"/>
          <w:sz w:val="26"/>
        </w:rPr>
        <w:t>Bài 2.3 — Phân tích gộp CẢNH BÁO của Fulambarkar (2023)</w:t>
      </w:r>
    </w:p>
    <w:p>
      <w:r>
        <w:rPr>
          <w:rFonts w:ascii="Times New Roman" w:hAnsi="Times New Roman"/>
          <w:b/>
          <w:sz w:val="24"/>
        </w:rPr>
        <w:t xml:space="preserve">Tên bài: </w:t>
      </w:r>
      <w:r>
        <w:rPr>
          <w:rFonts w:ascii="Times New Roman" w:hAnsi="Times New Roman"/>
          <w:sz w:val="24"/>
        </w:rPr>
        <w:t>Meta-analysis on mindfulness-based interventions for adolescents stress, depression, and anxiety in school settings: a cautionary tale</w:t>
      </w:r>
    </w:p>
    <w:p>
      <w:r>
        <w:rPr>
          <w:rFonts w:ascii="Times New Roman" w:hAnsi="Times New Roman"/>
          <w:b/>
          <w:sz w:val="24"/>
        </w:rPr>
        <w:t xml:space="preserve">Tạm dịch: </w:t>
      </w:r>
      <w:r>
        <w:rPr>
          <w:rFonts w:ascii="Times New Roman" w:hAnsi="Times New Roman"/>
          <w:sz w:val="24"/>
        </w:rPr>
        <w:t>Phân tích gộp về các can thiệp dựa trên chánh niệm cho căng thẳng, trầm cảm và lo âu ở vị thành niên trong môi trường trường học: một câu chuyện cần cảnh giác</w:t>
      </w:r>
    </w:p>
    <w:p>
      <w:r>
        <w:rPr>
          <w:rFonts w:ascii="Times New Roman" w:hAnsi="Times New Roman"/>
          <w:b/>
          <w:sz w:val="24"/>
        </w:rPr>
        <w:t xml:space="preserve">Tạp chí: </w:t>
      </w:r>
      <w:r>
        <w:rPr>
          <w:rFonts w:ascii="Times New Roman" w:hAnsi="Times New Roman"/>
          <w:sz w:val="24"/>
        </w:rPr>
        <w:t>Child and Adolescent Mental Health (Wiley) — 2023</w:t>
      </w:r>
    </w:p>
    <w:p>
      <w:r>
        <w:rPr>
          <w:rFonts w:ascii="Times New Roman" w:hAnsi="Times New Roman"/>
          <w:b/>
          <w:sz w:val="24"/>
        </w:rPr>
        <w:t xml:space="preserve">Mã định danh: </w:t>
      </w:r>
      <w:r>
        <w:rPr>
          <w:rFonts w:ascii="Times New Roman" w:hAnsi="Times New Roman"/>
          <w:sz w:val="24"/>
        </w:rPr>
        <w:t>DOI: 10.1111/camh.12572</w:t>
      </w:r>
    </w:p>
    <w:p>
      <w:r>
        <w:rPr>
          <w:rFonts w:ascii="Times New Roman" w:hAnsi="Times New Roman"/>
          <w:b/>
          <w:sz w:val="24"/>
        </w:rPr>
        <w:t xml:space="preserve">Đường dẫn: </w:t>
      </w:r>
      <w:r>
        <w:rPr>
          <w:rFonts w:ascii="Times New Roman" w:hAnsi="Times New Roman"/>
          <w:sz w:val="24"/>
        </w:rPr>
        <w:t>https://acamh.onlinelibrary.wiley.com/doi/10.1111/camh.12572</w:t>
      </w:r>
    </w:p>
    <w:p>
      <w:r>
        <w:rPr>
          <w:rFonts w:ascii="Times New Roman" w:hAnsi="Times New Roman"/>
          <w:b/>
          <w:sz w:val="24"/>
        </w:rPr>
        <w:t xml:space="preserve">Phát hiện chính: </w:t>
      </w:r>
      <w:r>
        <w:rPr>
          <w:rFonts w:ascii="Times New Roman" w:hAnsi="Times New Roman"/>
          <w:sz w:val="24"/>
        </w:rPr>
        <w:t>Bài CẢNH BÁO về việc tin tưởng quá mức vào hiệu quả chánh niệm dựa vào trường học cho vị thành niên. Kích thước hiệu ứng tổng hợp ở mức nhỏ tới không có; mức độ tham gia của học sinh thấp; thậm chí có thể GÂY HẠI cho một số học sinh dễ bị tổn thương.</w:t>
      </w:r>
    </w:p>
    <w:p>
      <w:pPr>
        <w:ind w:left="283"/>
      </w:pPr>
      <w:r>
        <w:rPr>
          <w:rFonts w:ascii="Times New Roman" w:hAnsi="Times New Roman"/>
          <w:b/>
          <w:color w:val="C00000"/>
          <w:sz w:val="22"/>
        </w:rPr>
        <w:t xml:space="preserve">[Lưu ý] </w:t>
      </w:r>
      <w:r>
        <w:rPr>
          <w:rFonts w:ascii="Times New Roman" w:hAnsi="Times New Roman"/>
          <w:color w:val="C00000"/>
          <w:sz w:val="22"/>
        </w:rPr>
        <w:t>Đây là phân tích gộp có TÍNH PHẢN BIỆN với xu hướng quảng bá "chánh niệm cho tất cả mọi người". Nên đọc song song với các nghiên cứu ủng hộ chánh niệm để có cái nhìn cân bằng. Phù hợp với bằng chứng từ thử nghiệm MYRIAD ở Anh năm 2022.</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Cần tham khảo bài này TRƯỚC KHI quyết định tích hợp chánh niệm vào chương trình chính khoá ở Việt Nam. Cách an toàn nhất: chỉ làm thành hoạt động tự chọn (optional) + workshop ngoài giờ học, KHÔNG bắt buộc toàn trường.</w:t>
      </w:r>
    </w:p>
    <w:p>
      <w:r>
        <w:rPr>
          <w:rFonts w:ascii="Times New Roman" w:hAnsi="Times New Roman"/>
          <w:b/>
          <w:color w:val="0070C0"/>
          <w:sz w:val="26"/>
        </w:rPr>
        <w:t>Bài 2.4 — Nghiên cứu có đối chứng về chánh niệm 10 tuần ở trường (2023)</w:t>
      </w:r>
    </w:p>
    <w:p>
      <w:r>
        <w:rPr>
          <w:rFonts w:ascii="Times New Roman" w:hAnsi="Times New Roman"/>
          <w:b/>
          <w:sz w:val="24"/>
        </w:rPr>
        <w:t xml:space="preserve">Tạp chí: </w:t>
      </w:r>
      <w:r>
        <w:rPr>
          <w:rFonts w:ascii="Times New Roman" w:hAnsi="Times New Roman"/>
          <w:sz w:val="24"/>
        </w:rPr>
        <w:t>School Mental Health (Springer) — 2023</w:t>
      </w:r>
    </w:p>
    <w:p>
      <w:r>
        <w:rPr>
          <w:rFonts w:ascii="Times New Roman" w:hAnsi="Times New Roman"/>
          <w:b/>
          <w:sz w:val="24"/>
        </w:rPr>
        <w:t xml:space="preserve">Mã định danh: </w:t>
      </w:r>
      <w:r>
        <w:rPr>
          <w:rFonts w:ascii="Times New Roman" w:hAnsi="Times New Roman"/>
          <w:sz w:val="24"/>
        </w:rPr>
        <w:t>DOI: 10.1007/s12310-023-09620-y</w:t>
      </w:r>
    </w:p>
    <w:p>
      <w:r>
        <w:rPr>
          <w:rFonts w:ascii="Times New Roman" w:hAnsi="Times New Roman"/>
          <w:b/>
          <w:sz w:val="24"/>
        </w:rPr>
        <w:t xml:space="preserve">Đường dẫn: </w:t>
      </w:r>
      <w:r>
        <w:rPr>
          <w:rFonts w:ascii="Times New Roman" w:hAnsi="Times New Roman"/>
          <w:sz w:val="24"/>
        </w:rPr>
        <w:t>https://link.springer.com/article/10.1007/s12310-023-09620-y</w:t>
      </w:r>
    </w:p>
    <w:p>
      <w:r>
        <w:rPr>
          <w:rFonts w:ascii="Times New Roman" w:hAnsi="Times New Roman"/>
          <w:b/>
          <w:sz w:val="24"/>
        </w:rPr>
        <w:t xml:space="preserve">Phương pháp: </w:t>
      </w:r>
      <w:r>
        <w:rPr>
          <w:rFonts w:ascii="Times New Roman" w:hAnsi="Times New Roman"/>
          <w:sz w:val="24"/>
        </w:rPr>
        <w:t>Nghiên cứu có đối chứng (không phải thử nghiệm ngẫu nhiên đầy đủ) đánh giá hiệu quả của can thiệp chánh niệm dài 10 tuần tại trường lên triệu chứng trầm cảm và lo âu của học sinh từ trẻ em đến vị thành niên.</w:t>
      </w:r>
    </w:p>
    <w:p>
      <w:r>
        <w:rPr>
          <w:rFonts w:ascii="Times New Roman" w:hAnsi="Times New Roman"/>
          <w:b/>
          <w:color w:val="0070C0"/>
          <w:sz w:val="30"/>
        </w:rPr>
        <w:t>NHÓM 3 — Đào tạo kỹ năng điều hoà cảm xúc</w:t>
      </w:r>
    </w:p>
    <w:p>
      <w:r>
        <w:rPr>
          <w:rFonts w:ascii="Times New Roman" w:hAnsi="Times New Roman"/>
          <w:b/>
          <w:color w:val="0070C0"/>
          <w:sz w:val="26"/>
        </w:rPr>
        <w:t>Bài 3.1 — Phân tích gộp về can thiệp tâm lý xã hội với điều hoà cảm xúc (2024)</w:t>
      </w:r>
    </w:p>
    <w:p>
      <w:r>
        <w:rPr>
          <w:rFonts w:ascii="Times New Roman" w:hAnsi="Times New Roman"/>
          <w:b/>
          <w:sz w:val="24"/>
        </w:rPr>
        <w:t xml:space="preserve">Tên bài: </w:t>
      </w:r>
      <w:r>
        <w:rPr>
          <w:rFonts w:ascii="Times New Roman" w:hAnsi="Times New Roman"/>
          <w:sz w:val="24"/>
        </w:rPr>
        <w:t>Effect of Psychosocial Interventions on Children and Youth Emotion Regulation: A Meta-Analysis</w:t>
      </w:r>
    </w:p>
    <w:p>
      <w:r>
        <w:rPr>
          <w:rFonts w:ascii="Times New Roman" w:hAnsi="Times New Roman"/>
          <w:b/>
          <w:sz w:val="24"/>
        </w:rPr>
        <w:t xml:space="preserve">Tạm dịch: </w:t>
      </w:r>
      <w:r>
        <w:rPr>
          <w:rFonts w:ascii="Times New Roman" w:hAnsi="Times New Roman"/>
          <w:sz w:val="24"/>
        </w:rPr>
        <w:t>Tác động của các can thiệp tâm lý xã hội lên năng lực điều hoà cảm xúc ở trẻ em và thanh thiếu niên: Một phân tích gộp</w:t>
      </w:r>
    </w:p>
    <w:p>
      <w:r>
        <w:rPr>
          <w:rFonts w:ascii="Times New Roman" w:hAnsi="Times New Roman"/>
          <w:b/>
          <w:sz w:val="24"/>
        </w:rPr>
        <w:t xml:space="preserve">Tạp chí: </w:t>
      </w:r>
      <w:r>
        <w:rPr>
          <w:rFonts w:ascii="Times New Roman" w:hAnsi="Times New Roman"/>
          <w:sz w:val="24"/>
        </w:rPr>
        <w:t>Administration and Policy in Mental Health and Mental Health Services Research (Springer) — 2024</w:t>
      </w:r>
    </w:p>
    <w:p>
      <w:r>
        <w:rPr>
          <w:rFonts w:ascii="Times New Roman" w:hAnsi="Times New Roman"/>
          <w:b/>
          <w:sz w:val="24"/>
        </w:rPr>
        <w:t xml:space="preserve">Mã định danh: </w:t>
      </w:r>
      <w:r>
        <w:rPr>
          <w:rFonts w:ascii="Times New Roman" w:hAnsi="Times New Roman"/>
          <w:sz w:val="24"/>
        </w:rPr>
        <w:t>DOI: 10.1007/s10488-024-01373-3</w:t>
      </w:r>
    </w:p>
    <w:p>
      <w:r>
        <w:rPr>
          <w:rFonts w:ascii="Times New Roman" w:hAnsi="Times New Roman"/>
          <w:b/>
          <w:sz w:val="24"/>
        </w:rPr>
        <w:t xml:space="preserve">Đường dẫn: </w:t>
      </w:r>
      <w:r>
        <w:rPr>
          <w:rFonts w:ascii="Times New Roman" w:hAnsi="Times New Roman"/>
          <w:sz w:val="24"/>
        </w:rPr>
        <w:t>https://link.springer.com/article/10.1007/s10488-024-01373-3</w:t>
      </w:r>
    </w:p>
    <w:p>
      <w:r>
        <w:rPr>
          <w:rFonts w:ascii="Times New Roman" w:hAnsi="Times New Roman"/>
          <w:b/>
          <w:sz w:val="24"/>
        </w:rPr>
        <w:t xml:space="preserve">Phát hiện chính: </w:t>
      </w:r>
      <w:r>
        <w:rPr>
          <w:rFonts w:ascii="Times New Roman" w:hAnsi="Times New Roman"/>
          <w:sz w:val="24"/>
        </w:rPr>
        <w:t>Các can thiệp tâm lý xã hội có hiệu ứng từ NHỎ ĐẾN TRUNG BÌNH lên năng lực điều hoà cảm xúc với hệ số d = 0,37. Sự thiếu hụt khả năng điều hoà cảm xúc trong giai đoạn vị thành niên có liên quan đến nguy cơ cao hơn phát triển các triệu chứng lo âu và trầm cảm.</w:t>
      </w:r>
    </w:p>
    <w:p>
      <w:pPr>
        <w:ind w:left="283"/>
      </w:pPr>
      <w:r>
        <w:rPr>
          <w:rFonts w:ascii="Times New Roman" w:hAnsi="Times New Roman"/>
          <w:b/>
          <w:color w:val="C00000"/>
          <w:sz w:val="22"/>
        </w:rPr>
        <w:t xml:space="preserve">[Lưu ý] </w:t>
      </w:r>
      <w:r>
        <w:rPr>
          <w:rFonts w:ascii="Times New Roman" w:hAnsi="Times New Roman"/>
          <w:color w:val="C00000"/>
          <w:sz w:val="22"/>
        </w:rPr>
        <w:t>Hiệu ứng d = 0,37 là ĐÁNG KỂ HƠN chánh niệm (chỉ d = 0,14) — đào tạo kỹ năng điều hoà cảm xúc có tiềm năng cao hơn. Tuy nhiên cần biết loại can thiệp cụ thể nào trong số các can thiệp tâm lý xã hội cho hiệu ứng cao nhất (DBT, ACT, CBT tập trung cảm xúc?).</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Nên ƯU TIÊN đào tạo kỹ năng điều hoà cảm xúc (sử dụng các kỹ thuật từ Liệu pháp hành vi biện chứng – DBT, Liệu pháp chấp nhận và cam kết – ACT, hoặc CBT tập trung cảm xúc) HƠN chánh niệm thuần tuý. Quy mô đề xuất: chương trình 4–6 tuần, 1 buổi/tuần, mỗi buổi 60 phút.</w:t>
      </w:r>
    </w:p>
    <w:p>
      <w:r>
        <w:rPr>
          <w:rFonts w:ascii="Times New Roman" w:hAnsi="Times New Roman"/>
          <w:b/>
          <w:color w:val="0070C0"/>
          <w:sz w:val="26"/>
        </w:rPr>
        <w:t>Bài 3.2 — Đào tạo kỹ năng điều hoà cảm xúc cho HS + cha mẹ (2024)</w:t>
      </w:r>
    </w:p>
    <w:p>
      <w:r>
        <w:rPr>
          <w:rFonts w:ascii="Times New Roman" w:hAnsi="Times New Roman"/>
          <w:b/>
          <w:sz w:val="24"/>
        </w:rPr>
        <w:t xml:space="preserve">Tên bài: </w:t>
      </w:r>
      <w:r>
        <w:rPr>
          <w:rFonts w:ascii="Times New Roman" w:hAnsi="Times New Roman"/>
          <w:sz w:val="24"/>
        </w:rPr>
        <w:t>An emotion regulation skills training for adolescents and parents: perceptions and acceptability of methodological aspects</w:t>
      </w:r>
    </w:p>
    <w:p>
      <w:r>
        <w:rPr>
          <w:rFonts w:ascii="Times New Roman" w:hAnsi="Times New Roman"/>
          <w:b/>
          <w:sz w:val="24"/>
        </w:rPr>
        <w:t xml:space="preserve">Tạm dịch: </w:t>
      </w:r>
      <w:r>
        <w:rPr>
          <w:rFonts w:ascii="Times New Roman" w:hAnsi="Times New Roman"/>
          <w:sz w:val="24"/>
        </w:rPr>
        <w:t>Một chương trình đào tạo kỹ năng điều hoà cảm xúc cho vị thành niên và cha mẹ: nhận thức và mức độ chấp nhận về các khía cạnh phương pháp luận</w:t>
      </w:r>
    </w:p>
    <w:p>
      <w:r>
        <w:rPr>
          <w:rFonts w:ascii="Times New Roman" w:hAnsi="Times New Roman"/>
          <w:b/>
          <w:sz w:val="24"/>
        </w:rPr>
        <w:t xml:space="preserve">Tạp chí: </w:t>
      </w:r>
      <w:r>
        <w:rPr>
          <w:rFonts w:ascii="Times New Roman" w:hAnsi="Times New Roman"/>
          <w:sz w:val="24"/>
        </w:rPr>
        <w:t>Frontiers in Psychiatry — 2024</w:t>
      </w:r>
    </w:p>
    <w:p>
      <w:r>
        <w:rPr>
          <w:rFonts w:ascii="Times New Roman" w:hAnsi="Times New Roman"/>
          <w:b/>
          <w:sz w:val="24"/>
        </w:rPr>
        <w:t xml:space="preserve">Mã định danh: </w:t>
      </w:r>
      <w:r>
        <w:rPr>
          <w:rFonts w:ascii="Times New Roman" w:hAnsi="Times New Roman"/>
          <w:sz w:val="24"/>
        </w:rPr>
        <w:t>DOI: 10.3389/fpsyt.2024.1448529</w:t>
      </w:r>
    </w:p>
    <w:p>
      <w:r>
        <w:rPr>
          <w:rFonts w:ascii="Times New Roman" w:hAnsi="Times New Roman"/>
          <w:b/>
          <w:sz w:val="24"/>
        </w:rPr>
        <w:t xml:space="preserve">Đường dẫn: </w:t>
      </w:r>
      <w:r>
        <w:rPr>
          <w:rFonts w:ascii="Times New Roman" w:hAnsi="Times New Roman"/>
          <w:sz w:val="24"/>
        </w:rPr>
        <w:t>https://www.frontiersin.org/journals/psychiatry/articles/10.3389/fpsyt.2024.1448529/full</w:t>
      </w:r>
    </w:p>
    <w:p>
      <w:r>
        <w:rPr>
          <w:rFonts w:ascii="Times New Roman" w:hAnsi="Times New Roman"/>
          <w:b/>
          <w:sz w:val="24"/>
        </w:rPr>
        <w:t xml:space="preserve">Đặc điểm: </w:t>
      </w:r>
      <w:r>
        <w:rPr>
          <w:rFonts w:ascii="Times New Roman" w:hAnsi="Times New Roman"/>
          <w:sz w:val="24"/>
        </w:rPr>
        <w:t>Chương trình đào tạo KẾT HỢP cả vị thành niên và cha mẹ tham gia cùng nhau. Đo lường: cảm nhận của người tham gia và mức chấp nhận về các khía cạnh phương pháp luận.</w:t>
      </w:r>
    </w:p>
    <w:p>
      <w:pPr>
        <w:ind w:left="283"/>
      </w:pPr>
      <w:r>
        <w:rPr>
          <w:rFonts w:ascii="Times New Roman" w:hAnsi="Times New Roman"/>
          <w:b/>
          <w:color w:val="C00000"/>
          <w:sz w:val="22"/>
        </w:rPr>
        <w:t xml:space="preserve">[Lưu ý] </w:t>
      </w:r>
      <w:r>
        <w:rPr>
          <w:rFonts w:ascii="Times New Roman" w:hAnsi="Times New Roman"/>
          <w:color w:val="C00000"/>
          <w:sz w:val="22"/>
        </w:rPr>
        <w:t>Đào tạo kết hợp cha mẹ – vị thành niên là MẠNH về mặt lý thuyết hệ thống (theo lý thuyết hệ thống gia đình) nhưng KHÓ triển khai quy mô lớn vì cha mẹ thường khó sắp xếp thời gian.</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Việt Nam có thể thử mô hình "cha mẹ cùng học sinh tham gia" qua các buổi họp phụ huynh trực tuyến (Zoom/Zalo). Phù hợp với văn hoá Á Đông đề cao vai trò gia đình trong giáo dục con cái.</w:t>
      </w:r>
    </w:p>
    <w:p>
      <w:r>
        <w:rPr>
          <w:rFonts w:ascii="Times New Roman" w:hAnsi="Times New Roman"/>
          <w:b/>
          <w:color w:val="0070C0"/>
          <w:sz w:val="30"/>
        </w:rPr>
        <w:t>NHÓM 4 — Liệu pháp nhận thức – hành vi qua mạng</w:t>
      </w:r>
    </w:p>
    <w:p>
      <w:r>
        <w:rPr>
          <w:rFonts w:ascii="Times New Roman" w:hAnsi="Times New Roman"/>
          <w:b/>
          <w:color w:val="0070C0"/>
          <w:sz w:val="26"/>
        </w:rPr>
        <w:t>Bài 4.1 — Thử nghiệm CBT online cho lo âu xã hội dưới ngưỡng (JMIR 2024)</w:t>
      </w:r>
    </w:p>
    <w:p>
      <w:r>
        <w:rPr>
          <w:rFonts w:ascii="Times New Roman" w:hAnsi="Times New Roman"/>
          <w:b/>
          <w:sz w:val="24"/>
        </w:rPr>
        <w:t xml:space="preserve">Tên bài: </w:t>
      </w:r>
      <w:r>
        <w:rPr>
          <w:rFonts w:ascii="Times New Roman" w:hAnsi="Times New Roman"/>
          <w:sz w:val="24"/>
        </w:rPr>
        <w:t>Effectiveness of Unguided Internet-Based Cognitive Behavioral Therapy for Subthreshold Social Anxiety Disorder in Adolescents and Young Adults: Multicenter Randomized Controlled Trial</w:t>
      </w:r>
    </w:p>
    <w:p>
      <w:r>
        <w:rPr>
          <w:rFonts w:ascii="Times New Roman" w:hAnsi="Times New Roman"/>
          <w:b/>
          <w:sz w:val="24"/>
        </w:rPr>
        <w:t xml:space="preserve">Tạm dịch: </w:t>
      </w:r>
      <w:r>
        <w:rPr>
          <w:rFonts w:ascii="Times New Roman" w:hAnsi="Times New Roman"/>
          <w:sz w:val="24"/>
        </w:rPr>
        <w:t>Hiệu quả của Liệu pháp nhận thức – hành vi qua Internet KHÔNG có hướng dẫn cho rối loạn lo âu xã hội dưới ngưỡng ở vị thành niên và thanh niên: Thử nghiệm có đối chứng ngẫu nhiên đa trung tâm</w:t>
      </w:r>
    </w:p>
    <w:p>
      <w:r>
        <w:rPr>
          <w:rFonts w:ascii="Times New Roman" w:hAnsi="Times New Roman"/>
          <w:b/>
          <w:sz w:val="24"/>
        </w:rPr>
        <w:t xml:space="preserve">Tạp chí: </w:t>
      </w:r>
      <w:r>
        <w:rPr>
          <w:rFonts w:ascii="Times New Roman" w:hAnsi="Times New Roman"/>
          <w:sz w:val="24"/>
        </w:rPr>
        <w:t>JMIR Pediatrics and Parenting — Vol 7 (2024)</w:t>
      </w:r>
    </w:p>
    <w:p>
      <w:r>
        <w:rPr>
          <w:rFonts w:ascii="Times New Roman" w:hAnsi="Times New Roman"/>
          <w:b/>
          <w:sz w:val="24"/>
        </w:rPr>
        <w:t xml:space="preserve">Mã định danh: </w:t>
      </w:r>
      <w:r>
        <w:rPr>
          <w:rFonts w:ascii="Times New Roman" w:hAnsi="Times New Roman"/>
          <w:sz w:val="24"/>
        </w:rPr>
        <w:t>DOI: 10.2196/55786</w:t>
      </w:r>
    </w:p>
    <w:p>
      <w:r>
        <w:rPr>
          <w:rFonts w:ascii="Times New Roman" w:hAnsi="Times New Roman"/>
          <w:b/>
          <w:sz w:val="24"/>
        </w:rPr>
        <w:t xml:space="preserve">Đường dẫn: </w:t>
      </w:r>
      <w:r>
        <w:rPr>
          <w:rFonts w:ascii="Times New Roman" w:hAnsi="Times New Roman"/>
          <w:sz w:val="24"/>
        </w:rPr>
        <w:t>https://pediatrics.jmir.org/2024/1/e55786</w:t>
      </w:r>
    </w:p>
    <w:p>
      <w:r>
        <w:rPr>
          <w:rFonts w:ascii="Times New Roman" w:hAnsi="Times New Roman"/>
          <w:b/>
          <w:sz w:val="24"/>
        </w:rPr>
        <w:t xml:space="preserve">Phương pháp: </w:t>
      </w:r>
      <w:r>
        <w:rPr>
          <w:rFonts w:ascii="Times New Roman" w:hAnsi="Times New Roman"/>
          <w:sz w:val="24"/>
        </w:rPr>
        <w:t>Thử nghiệm có đối chứng ngẫu nhiên đa trung tâm về CBT online KHÔNG có hướng dẫn (unguided — không có nhà trị liệu hỗ trợ trực tiếp) cho rối loạn lo âu xã hội DƯỚI NGƯỠNG (chưa đủ tiêu chuẩn chẩn đoán đầy đủ) ở vị thành niên và thanh niên.</w:t>
      </w:r>
    </w:p>
    <w:p>
      <w:pPr>
        <w:ind w:left="283"/>
      </w:pPr>
      <w:r>
        <w:rPr>
          <w:rFonts w:ascii="Times New Roman" w:hAnsi="Times New Roman"/>
          <w:b/>
          <w:color w:val="C00000"/>
          <w:sz w:val="22"/>
        </w:rPr>
        <w:t xml:space="preserve">[Lưu ý] </w:t>
      </w:r>
      <w:r>
        <w:rPr>
          <w:rFonts w:ascii="Times New Roman" w:hAnsi="Times New Roman"/>
          <w:color w:val="C00000"/>
          <w:sz w:val="22"/>
        </w:rPr>
        <w:t>CBT online không có hướng dẫn có TỈ LỆ HOÀN THÀNH thấp (khoảng 30–50%) so với CBT online có hướng dẫn (50–70%). Tuy nhiên ưu điểm là khả năng triển khai quy mô lớn rất tốt cho các quốc gia có thu nhập trung bình – thấp như Việt Nam. Cần đọc kỹ kích thước hiệu ứng cụ thể.</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Việt Nam có thể bản địa hoá CBT online sang tiếng Việt — hợp tác với các công ty công nghệ giáo dục Việt Nam (ví dụ: Topica, ELSA, Fonos). Nên kết hợp với chatbot tự động + nhắc nhở qua tin nhắn để tăng tỉ lệ hoàn thành. Đối tượng phù hợp: học sinh có triệu chứng dưới ngưỡng (sàng lọc bằng GAD-7 ≥ 5 hoặc PHQ-9 ≥ 5).</w:t>
      </w:r>
    </w:p>
    <w:p>
      <w:r>
        <w:rPr>
          <w:rFonts w:ascii="Times New Roman" w:hAnsi="Times New Roman"/>
          <w:b/>
          <w:color w:val="0070C0"/>
          <w:sz w:val="26"/>
        </w:rPr>
        <w:t>Bài 4.2 — Tổng quan hệ thống về can thiệp số cho điều hoà cảm xúc (JMIR 2022)</w:t>
      </w:r>
    </w:p>
    <w:p>
      <w:r>
        <w:rPr>
          <w:rFonts w:ascii="Times New Roman" w:hAnsi="Times New Roman"/>
          <w:b/>
          <w:sz w:val="24"/>
        </w:rPr>
        <w:t xml:space="preserve">Tên bài: </w:t>
      </w:r>
      <w:r>
        <w:rPr>
          <w:rFonts w:ascii="Times New Roman" w:hAnsi="Times New Roman"/>
          <w:sz w:val="24"/>
        </w:rPr>
        <w:t>Digital Interventions for Emotion Regulation in Children and Early Adolescents: Systematic Review and Meta-analysis</w:t>
      </w:r>
    </w:p>
    <w:p>
      <w:r>
        <w:rPr>
          <w:rFonts w:ascii="Times New Roman" w:hAnsi="Times New Roman"/>
          <w:b/>
          <w:sz w:val="24"/>
        </w:rPr>
        <w:t xml:space="preserve">Tạm dịch: </w:t>
      </w:r>
      <w:r>
        <w:rPr>
          <w:rFonts w:ascii="Times New Roman" w:hAnsi="Times New Roman"/>
          <w:sz w:val="24"/>
        </w:rPr>
        <w:t>Các can thiệp số cho điều hoà cảm xúc ở trẻ em và vị thành niên sớm: Tổng quan hệ thống và phân tích gộp</w:t>
      </w:r>
    </w:p>
    <w:p>
      <w:r>
        <w:rPr>
          <w:rFonts w:ascii="Times New Roman" w:hAnsi="Times New Roman"/>
          <w:b/>
          <w:sz w:val="24"/>
        </w:rPr>
        <w:t xml:space="preserve">Tạp chí: </w:t>
      </w:r>
      <w:r>
        <w:rPr>
          <w:rFonts w:ascii="Times New Roman" w:hAnsi="Times New Roman"/>
          <w:sz w:val="24"/>
        </w:rPr>
        <w:t>JMIR Serious Games — 2022 (đã được trích dẫn trong các nghiên cứu 2024)</w:t>
      </w:r>
    </w:p>
    <w:p>
      <w:r>
        <w:rPr>
          <w:rFonts w:ascii="Times New Roman" w:hAnsi="Times New Roman"/>
          <w:b/>
          <w:sz w:val="24"/>
        </w:rPr>
        <w:t xml:space="preserve">Mã định danh: </w:t>
      </w:r>
      <w:r>
        <w:rPr>
          <w:rFonts w:ascii="Times New Roman" w:hAnsi="Times New Roman"/>
          <w:sz w:val="24"/>
        </w:rPr>
        <w:t>DOI: 10.2196/31456</w:t>
      </w:r>
    </w:p>
    <w:p>
      <w:r>
        <w:rPr>
          <w:rFonts w:ascii="Times New Roman" w:hAnsi="Times New Roman"/>
          <w:b/>
          <w:sz w:val="24"/>
        </w:rPr>
        <w:t xml:space="preserve">Đường dẫn: </w:t>
      </w:r>
      <w:r>
        <w:rPr>
          <w:rFonts w:ascii="Times New Roman" w:hAnsi="Times New Roman"/>
          <w:sz w:val="24"/>
        </w:rPr>
        <w:t>https://games.jmir.org/2022/3/e31456</w:t>
      </w:r>
    </w:p>
    <w:p>
      <w:r>
        <w:rPr>
          <w:rFonts w:ascii="Times New Roman" w:hAnsi="Times New Roman"/>
          <w:b/>
          <w:sz w:val="24"/>
        </w:rPr>
        <w:t xml:space="preserve">Phát hiện chính: </w:t>
      </w:r>
      <w:r>
        <w:rPr>
          <w:rFonts w:ascii="Times New Roman" w:hAnsi="Times New Roman"/>
          <w:sz w:val="24"/>
        </w:rPr>
        <w:t>Trò chơi số (digital games) có thiết kế trị liệu giảm trải nghiệm cảm xúc tiêu cực với hiệu ứng nhỏ nhưng có ý nghĩa thống kê — đặc biệt rõ rệt ở thanh thiếu niên có nguy cơ lo âu.</w:t>
      </w:r>
    </w:p>
    <w:p>
      <w:pPr>
        <w:ind w:left="283"/>
      </w:pPr>
      <w:r>
        <w:rPr>
          <w:rFonts w:ascii="Times New Roman" w:hAnsi="Times New Roman"/>
          <w:b/>
          <w:color w:val="C00000"/>
          <w:sz w:val="22"/>
        </w:rPr>
        <w:t xml:space="preserve">[Lưu ý] </w:t>
      </w:r>
      <w:r>
        <w:rPr>
          <w:rFonts w:ascii="Times New Roman" w:hAnsi="Times New Roman"/>
          <w:color w:val="C00000"/>
          <w:sz w:val="22"/>
        </w:rPr>
        <w:t>Trò chơi số kết hợp yếu tố trị liệu ("serious games") là hướng MỚI và phù hợp với thế hệ Z. Tuy nhiên cần cân nhắc rủi ro tăng thời gian dùng màn hình, cần thiết kế để có giới hạn rõ ràng.</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Việt Nam có thể thiết kế ứng dụng học "kỹ năng vượt khó" qua trò chơi mini bằng tiếng Việt. Có thể hợp tác với các studio làm game độc lập Việt Nam để tạo sản phẩm phù hợp văn hoá.</w:t>
      </w:r>
    </w:p>
    <w:p>
      <w:r>
        <w:rPr>
          <w:rFonts w:ascii="Times New Roman" w:hAnsi="Times New Roman"/>
          <w:b/>
          <w:color w:val="0070C0"/>
          <w:sz w:val="30"/>
        </w:rPr>
        <w:t>NHÓM 5 — Hỗ trợ từ bạn đồng trang lứa</w:t>
      </w:r>
    </w:p>
    <w:p>
      <w:r>
        <w:rPr>
          <w:rFonts w:ascii="Times New Roman" w:hAnsi="Times New Roman"/>
          <w:b/>
          <w:color w:val="0070C0"/>
          <w:sz w:val="26"/>
        </w:rPr>
        <w:t>Bài 5.1 — Tổng quan phạm vi hệ thống về hỗ trợ ngang hàng (Murphy 2024)</w:t>
      </w:r>
    </w:p>
    <w:p>
      <w:r>
        <w:rPr>
          <w:rFonts w:ascii="Times New Roman" w:hAnsi="Times New Roman"/>
          <w:b/>
          <w:sz w:val="24"/>
        </w:rPr>
        <w:t xml:space="preserve">Tên bài: </w:t>
      </w:r>
      <w:r>
        <w:rPr>
          <w:rFonts w:ascii="Times New Roman" w:hAnsi="Times New Roman"/>
          <w:sz w:val="24"/>
        </w:rPr>
        <w:t>A systematic scoping review of peer support interventions in integrated primary youth mental health care</w:t>
      </w:r>
    </w:p>
    <w:p>
      <w:r>
        <w:rPr>
          <w:rFonts w:ascii="Times New Roman" w:hAnsi="Times New Roman"/>
          <w:b/>
          <w:sz w:val="24"/>
        </w:rPr>
        <w:t xml:space="preserve">Tạm dịch: </w:t>
      </w:r>
      <w:r>
        <w:rPr>
          <w:rFonts w:ascii="Times New Roman" w:hAnsi="Times New Roman"/>
          <w:sz w:val="24"/>
        </w:rPr>
        <w:t>Tổng quan phạm vi hệ thống về các can thiệp hỗ trợ ngang hàng trong chăm sóc sức khỏe tâm thần ban đầu tích hợp cho giới trẻ</w:t>
      </w:r>
    </w:p>
    <w:p>
      <w:r>
        <w:rPr>
          <w:rFonts w:ascii="Times New Roman" w:hAnsi="Times New Roman"/>
          <w:b/>
          <w:sz w:val="24"/>
        </w:rPr>
        <w:t xml:space="preserve">Tạp chí: </w:t>
      </w:r>
      <w:r>
        <w:rPr>
          <w:rFonts w:ascii="Times New Roman" w:hAnsi="Times New Roman"/>
          <w:sz w:val="24"/>
        </w:rPr>
        <w:t>Journal of Community Psychology (Wiley) — 2024</w:t>
      </w:r>
    </w:p>
    <w:p>
      <w:r>
        <w:rPr>
          <w:rFonts w:ascii="Times New Roman" w:hAnsi="Times New Roman"/>
          <w:b/>
          <w:sz w:val="24"/>
        </w:rPr>
        <w:t xml:space="preserve">Mã định danh: </w:t>
      </w:r>
      <w:r>
        <w:rPr>
          <w:rFonts w:ascii="Times New Roman" w:hAnsi="Times New Roman"/>
          <w:sz w:val="24"/>
        </w:rPr>
        <w:t>DOI: 10.1002/jcop.23090</w:t>
      </w:r>
    </w:p>
    <w:p>
      <w:r>
        <w:rPr>
          <w:rFonts w:ascii="Times New Roman" w:hAnsi="Times New Roman"/>
          <w:b/>
          <w:sz w:val="24"/>
        </w:rPr>
        <w:t xml:space="preserve">Đường dẫn: </w:t>
      </w:r>
      <w:r>
        <w:rPr>
          <w:rFonts w:ascii="Times New Roman" w:hAnsi="Times New Roman"/>
          <w:sz w:val="24"/>
        </w:rPr>
        <w:t>https://onlinelibrary.wiley.com/doi/full/10.1002/jcop.23090</w:t>
      </w:r>
    </w:p>
    <w:p>
      <w:r>
        <w:rPr>
          <w:rFonts w:ascii="Times New Roman" w:hAnsi="Times New Roman"/>
          <w:b/>
          <w:sz w:val="24"/>
        </w:rPr>
        <w:t xml:space="preserve">Phát hiện chính: </w:t>
      </w:r>
      <w:r>
        <w:rPr>
          <w:rFonts w:ascii="Times New Roman" w:hAnsi="Times New Roman"/>
          <w:sz w:val="24"/>
        </w:rPr>
        <w:t>Hỗ trợ ngang hàng (giữa những người trẻ với nhau, có chia sẻ kinh nghiệm sống cùng vấn đề SKTT) đang được áp dụng rộng trong các bối cảnh sức khỏe tâm thần cho giới trẻ. Tuy nhiên BẰNG CHỨNG từ các thử nghiệm có đối chứng còn rất HẠN CHẾ.</w:t>
      </w:r>
    </w:p>
    <w:p>
      <w:pPr>
        <w:ind w:left="283"/>
      </w:pPr>
      <w:r>
        <w:rPr>
          <w:rFonts w:ascii="Times New Roman" w:hAnsi="Times New Roman"/>
          <w:b/>
          <w:color w:val="C00000"/>
          <w:sz w:val="22"/>
        </w:rPr>
        <w:t xml:space="preserve">[Lưu ý] </w:t>
      </w:r>
      <w:r>
        <w:rPr>
          <w:rFonts w:ascii="Times New Roman" w:hAnsi="Times New Roman"/>
          <w:color w:val="C00000"/>
          <w:sz w:val="22"/>
        </w:rPr>
        <w:t>Đây là tổng quan PHẠM VI (không phải tổng quan hệ thống) — chỉ mô tả tình hình chứ không kết luận quan hệ nhân – quả. Bằng chứng chủ yếu là mô tả + định tính. Lĩnh vực này vẫn cần nhiều thử nghiệm có đối chứng nghiêm ngặt.</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Mô hình "Đoàn Thanh niên Cộng sản Hồ Chí Minh" + "Lớp trưởng / Bí thư chi đoàn" có thể bản địa hoá thành chương trình hỗ trợ ngang hàng có đào tạo. Cần có chương trình tập huấn cho học sinh nòng cốt + giám sát chuyên môn từ tư vấn học đường để tránh rủi ro "truyền" lo âu giữa các em.</w:t>
      </w:r>
    </w:p>
    <w:p>
      <w:r>
        <w:rPr>
          <w:rFonts w:ascii="Times New Roman" w:hAnsi="Times New Roman"/>
          <w:b/>
          <w:color w:val="0070C0"/>
          <w:sz w:val="26"/>
        </w:rPr>
        <w:t>Bài 5.2 — Tổng quan hỗ trợ ngang hàng cho SKTT giới trẻ (NCBI Bookshelf)</w:t>
      </w:r>
    </w:p>
    <w:p>
      <w:r>
        <w:rPr>
          <w:rFonts w:ascii="Times New Roman" w:hAnsi="Times New Roman"/>
          <w:b/>
          <w:sz w:val="24"/>
        </w:rPr>
        <w:t xml:space="preserve">Mã định danh: </w:t>
      </w:r>
      <w:r>
        <w:rPr>
          <w:rFonts w:ascii="Times New Roman" w:hAnsi="Times New Roman"/>
          <w:sz w:val="24"/>
        </w:rPr>
        <w:t>NBK602668 (NCBI Bookshelf)</w:t>
      </w:r>
    </w:p>
    <w:p>
      <w:r>
        <w:rPr>
          <w:rFonts w:ascii="Times New Roman" w:hAnsi="Times New Roman"/>
          <w:b/>
          <w:sz w:val="24"/>
        </w:rPr>
        <w:t xml:space="preserve">Đường dẫn: </w:t>
      </w:r>
      <w:r>
        <w:rPr>
          <w:rFonts w:ascii="Times New Roman" w:hAnsi="Times New Roman"/>
          <w:sz w:val="24"/>
        </w:rPr>
        <w:t>https://www.ncbi.nlm.nih.gov/books/NBK602668/</w:t>
      </w:r>
    </w:p>
    <w:p>
      <w:r>
        <w:rPr>
          <w:rFonts w:ascii="Times New Roman" w:hAnsi="Times New Roman"/>
          <w:b/>
          <w:sz w:val="24"/>
        </w:rPr>
        <w:t xml:space="preserve">Đặc điểm: </w:t>
      </w:r>
      <w:r>
        <w:rPr>
          <w:rFonts w:ascii="Times New Roman" w:hAnsi="Times New Roman"/>
          <w:sz w:val="24"/>
        </w:rPr>
        <w:t>Tổng quan của chính phủ Anh về các chương trình hỗ trợ ngang hàng đã được triển khai. Tài liệu bổ sung từ Bộ Giáo dục Anh năm 2018.</w:t>
      </w:r>
    </w:p>
    <w:p>
      <w:r>
        <w:rPr>
          <w:rFonts w:ascii="Times New Roman" w:hAnsi="Times New Roman"/>
          <w:b/>
          <w:color w:val="0070C0"/>
          <w:sz w:val="30"/>
        </w:rPr>
        <w:t>NHÓM 6 — Bối cảnh châu Á – Trung Quốc</w:t>
      </w:r>
    </w:p>
    <w:p>
      <w:r>
        <w:rPr>
          <w:rFonts w:ascii="Times New Roman" w:hAnsi="Times New Roman"/>
          <w:b/>
          <w:color w:val="0070C0"/>
          <w:sz w:val="26"/>
        </w:rPr>
        <w:t>Bài 6.1 — Tổng quan phạm vi về phòng ngừa SKTT trường học ở Trung Quốc (Lancet 2024)</w:t>
      </w:r>
    </w:p>
    <w:p>
      <w:r>
        <w:rPr>
          <w:rFonts w:ascii="Times New Roman" w:hAnsi="Times New Roman"/>
          <w:b/>
          <w:sz w:val="24"/>
        </w:rPr>
        <w:t xml:space="preserve">Tên bài: </w:t>
      </w:r>
      <w:r>
        <w:rPr>
          <w:rFonts w:ascii="Times New Roman" w:hAnsi="Times New Roman"/>
          <w:sz w:val="24"/>
        </w:rPr>
        <w:t>School mental health prevention and intervention strategies in China: a scoping review</w:t>
      </w:r>
    </w:p>
    <w:p>
      <w:r>
        <w:rPr>
          <w:rFonts w:ascii="Times New Roman" w:hAnsi="Times New Roman"/>
          <w:b/>
          <w:sz w:val="24"/>
        </w:rPr>
        <w:t xml:space="preserve">Tạm dịch: </w:t>
      </w:r>
      <w:r>
        <w:rPr>
          <w:rFonts w:ascii="Times New Roman" w:hAnsi="Times New Roman"/>
          <w:sz w:val="24"/>
        </w:rPr>
        <w:t>Các chiến lược phòng ngừa và can thiệp sức khỏe tâm thần trong trường học tại Trung Quốc: Tổng quan phạm vi</w:t>
      </w:r>
    </w:p>
    <w:p>
      <w:r>
        <w:rPr>
          <w:rFonts w:ascii="Times New Roman" w:hAnsi="Times New Roman"/>
          <w:b/>
          <w:sz w:val="24"/>
        </w:rPr>
        <w:t xml:space="preserve">Tạp chí: </w:t>
      </w:r>
      <w:r>
        <w:rPr>
          <w:rFonts w:ascii="Times New Roman" w:hAnsi="Times New Roman"/>
          <w:sz w:val="24"/>
        </w:rPr>
        <w:t>The Lancet Regional Health – Western Pacific (Hệ số tác động khoảng 16) — 2024</w:t>
      </w:r>
    </w:p>
    <w:p>
      <w:r>
        <w:rPr>
          <w:rFonts w:ascii="Times New Roman" w:hAnsi="Times New Roman"/>
          <w:b/>
          <w:sz w:val="24"/>
        </w:rPr>
        <w:t xml:space="preserve">Đường dẫn: </w:t>
      </w:r>
      <w:r>
        <w:rPr>
          <w:rFonts w:ascii="Times New Roman" w:hAnsi="Times New Roman"/>
          <w:sz w:val="24"/>
        </w:rPr>
        <w:t>https://www.thelancet.com/journals/lanwpc/article/PIIS2666-6065(24)00237-2/fulltext</w:t>
      </w:r>
    </w:p>
    <w:p>
      <w:r>
        <w:rPr>
          <w:rFonts w:ascii="Times New Roman" w:hAnsi="Times New Roman"/>
          <w:b/>
          <w:sz w:val="24"/>
        </w:rPr>
        <w:t xml:space="preserve">Phát hiện chính: </w:t>
      </w:r>
      <w:r>
        <w:rPr>
          <w:rFonts w:ascii="Times New Roman" w:hAnsi="Times New Roman"/>
          <w:sz w:val="24"/>
        </w:rPr>
        <w:t>Tổng quan phạm vi về các chiến lược phòng ngừa và can thiệp SKTT trong trường học tại Trung Quốc. Bao quát các chương trình về học tập cảm xúc – xã hội, chánh niệm, liệu pháp nhận thức – hành vi tại các tỉnh khác nhau của Trung Quốc.</w:t>
      </w:r>
    </w:p>
    <w:p>
      <w:pPr>
        <w:ind w:left="283"/>
      </w:pPr>
      <w:r>
        <w:rPr>
          <w:rFonts w:ascii="Times New Roman" w:hAnsi="Times New Roman"/>
          <w:b/>
          <w:color w:val="C00000"/>
          <w:sz w:val="22"/>
        </w:rPr>
        <w:t xml:space="preserve">[Lưu ý] </w:t>
      </w:r>
      <w:r>
        <w:rPr>
          <w:rFonts w:ascii="Times New Roman" w:hAnsi="Times New Roman"/>
          <w:color w:val="C00000"/>
          <w:sz w:val="22"/>
        </w:rPr>
        <w:t>RẤT QUAN TRỌNG cho Việt Nam — bối cảnh Trung Quốc tương đồng với Việt Nam nhất (Đông Á, ảnh hưởng Khổng giáo, áp lực thi đại học cao, hệ thống giáo dục tập trung). Bài học từ Trung Quốc dễ bản địa hoá cho Việt Nam hơn so với UK/US.</w:t>
      </w:r>
    </w:p>
    <w:p>
      <w:pPr>
        <w:ind w:left="283"/>
      </w:pPr>
      <w:r>
        <w:rPr>
          <w:rFonts w:ascii="Times New Roman" w:hAnsi="Times New Roman"/>
          <w:b/>
          <w:color w:val="007040"/>
          <w:sz w:val="22"/>
        </w:rPr>
        <w:t xml:space="preserve">[Áp dụng cho Việt Nam] </w:t>
      </w:r>
      <w:r>
        <w:rPr>
          <w:rFonts w:ascii="Times New Roman" w:hAnsi="Times New Roman"/>
          <w:color w:val="007040"/>
          <w:sz w:val="22"/>
        </w:rPr>
        <w:t>Cần đọc kỹ bài này để hiểu Trung Quốc đã làm gì, hiệu quả/thất bại ở đâu. Việt Nam có thể tránh các sai lầm Trung Quốc đã mắc + bản địa hoá các thành công.</w:t>
      </w:r>
    </w:p>
    <w:p>
      <w:r>
        <w:rPr>
          <w:rFonts w:ascii="Times New Roman" w:hAnsi="Times New Roman"/>
          <w:b/>
          <w:color w:val="0070C0"/>
          <w:sz w:val="30"/>
        </w:rPr>
        <w:t>PHẦN 3 — BẢNG TỔNG HỢP 15 NGHIÊN CỨU</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396" w:type="dxa"/>
            <w:shd w:fill="D9E2F3" w:val="clear"/>
          </w:tcPr>
          <w:p>
            <w:pPr>
              <w:jc w:val="center"/>
            </w:pPr>
            <w:r>
              <w:rPr>
                <w:rFonts w:ascii="Times New Roman" w:hAnsi="Times New Roman"/>
                <w:b/>
                <w:sz w:val="20"/>
              </w:rPr>
              <w:t>STT</w:t>
            </w:r>
          </w:p>
        </w:tc>
        <w:tc>
          <w:tcPr>
            <w:tcW w:type="dxa" w:w="1938"/>
            <w:tcW w:w="1701" w:type="dxa"/>
            <w:shd w:fill="D9E2F3" w:val="clear"/>
          </w:tcPr>
          <w:p>
            <w:pPr>
              <w:jc w:val="center"/>
            </w:pPr>
            <w:r>
              <w:rPr>
                <w:rFonts w:ascii="Times New Roman" w:hAnsi="Times New Roman"/>
                <w:b/>
                <w:sz w:val="20"/>
              </w:rPr>
              <w:t>Tác giả + Năm</w:t>
            </w:r>
          </w:p>
        </w:tc>
        <w:tc>
          <w:tcPr>
            <w:tcW w:type="dxa" w:w="1938"/>
            <w:tcW w:w="2268" w:type="dxa"/>
            <w:shd w:fill="D9E2F3" w:val="clear"/>
          </w:tcPr>
          <w:p>
            <w:pPr>
              <w:jc w:val="center"/>
            </w:pPr>
            <w:r>
              <w:rPr>
                <w:rFonts w:ascii="Times New Roman" w:hAnsi="Times New Roman"/>
                <w:b/>
                <w:sz w:val="20"/>
              </w:rPr>
              <w:t>Loại nghiên cứu</w:t>
            </w:r>
          </w:p>
        </w:tc>
        <w:tc>
          <w:tcPr>
            <w:tcW w:type="dxa" w:w="1938"/>
            <w:tcW w:w="3118" w:type="dxa"/>
            <w:shd w:fill="D9E2F3" w:val="clear"/>
          </w:tcPr>
          <w:p>
            <w:pPr>
              <w:jc w:val="center"/>
            </w:pPr>
            <w:r>
              <w:rPr>
                <w:rFonts w:ascii="Times New Roman" w:hAnsi="Times New Roman"/>
                <w:b/>
                <w:sz w:val="20"/>
              </w:rPr>
              <w:t>Mã định danh chính</w:t>
            </w:r>
          </w:p>
        </w:tc>
        <w:tc>
          <w:tcPr>
            <w:tcW w:type="dxa" w:w="1938"/>
            <w:tcW w:w="1134" w:type="dxa"/>
            <w:shd w:fill="D9E2F3" w:val="clear"/>
          </w:tcPr>
          <w:p>
            <w:pPr>
              <w:jc w:val="center"/>
            </w:pPr>
            <w:r>
              <w:rPr>
                <w:rFonts w:ascii="Times New Roman" w:hAnsi="Times New Roman"/>
                <w:b/>
                <w:sz w:val="20"/>
              </w:rPr>
              <w:t>Mức quan trọng cho VN</w:t>
            </w:r>
          </w:p>
        </w:tc>
      </w:tr>
      <w:tr>
        <w:tc>
          <w:tcPr>
            <w:tcW w:type="dxa" w:w="1938"/>
            <w:tcW w:w="396" w:type="dxa"/>
          </w:tcPr>
          <w:p>
            <w:r>
              <w:rPr>
                <w:rFonts w:ascii="Times New Roman" w:hAnsi="Times New Roman"/>
                <w:sz w:val="18"/>
              </w:rPr>
              <w:t>1</w:t>
            </w:r>
          </w:p>
        </w:tc>
        <w:tc>
          <w:tcPr>
            <w:tcW w:type="dxa" w:w="1938"/>
            <w:tcW w:w="1701" w:type="dxa"/>
          </w:tcPr>
          <w:p>
            <w:r>
              <w:rPr>
                <w:rFonts w:ascii="Times New Roman" w:hAnsi="Times New Roman"/>
                <w:sz w:val="18"/>
              </w:rPr>
              <w:t>Frontiers Psychiatry 2025</w:t>
            </w:r>
          </w:p>
        </w:tc>
        <w:tc>
          <w:tcPr>
            <w:tcW w:type="dxa" w:w="1938"/>
            <w:tcW w:w="2268" w:type="dxa"/>
          </w:tcPr>
          <w:p>
            <w:r>
              <w:rPr>
                <w:rFonts w:ascii="Times New Roman" w:hAnsi="Times New Roman"/>
                <w:sz w:val="18"/>
              </w:rPr>
              <w:t>Tổng quan hệ thống + Phân tích gộp 38 thử nghiệm</w:t>
            </w:r>
          </w:p>
        </w:tc>
        <w:tc>
          <w:tcPr>
            <w:tcW w:type="dxa" w:w="1938"/>
            <w:tcW w:w="3118" w:type="dxa"/>
          </w:tcPr>
          <w:p>
            <w:r>
              <w:rPr>
                <w:rFonts w:ascii="Times New Roman" w:hAnsi="Times New Roman"/>
                <w:sz w:val="18"/>
              </w:rPr>
              <w:t>PMC12127306 / DOI 10.3389/fpsyt.2025.1594658</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2</w:t>
            </w:r>
          </w:p>
        </w:tc>
        <w:tc>
          <w:tcPr>
            <w:tcW w:type="dxa" w:w="1938"/>
            <w:tcW w:w="1701" w:type="dxa"/>
          </w:tcPr>
          <w:p>
            <w:r>
              <w:rPr>
                <w:rFonts w:ascii="Times New Roman" w:hAnsi="Times New Roman"/>
                <w:sz w:val="18"/>
              </w:rPr>
              <w:t>Springer Child Psychiatry 2024</w:t>
            </w:r>
          </w:p>
        </w:tc>
        <w:tc>
          <w:tcPr>
            <w:tcW w:type="dxa" w:w="1938"/>
            <w:tcW w:w="2268" w:type="dxa"/>
          </w:tcPr>
          <w:p>
            <w:r>
              <w:rPr>
                <w:rFonts w:ascii="Times New Roman" w:hAnsi="Times New Roman"/>
                <w:sz w:val="18"/>
              </w:rPr>
              <w:t>Tổng quan 31 nghiên cứu</w:t>
            </w:r>
          </w:p>
        </w:tc>
        <w:tc>
          <w:tcPr>
            <w:tcW w:type="dxa" w:w="1938"/>
            <w:tcW w:w="3118" w:type="dxa"/>
          </w:tcPr>
          <w:p>
            <w:r>
              <w:rPr>
                <w:rFonts w:ascii="Times New Roman" w:hAnsi="Times New Roman"/>
                <w:sz w:val="18"/>
              </w:rPr>
              <w:t>PMC12628395 / DOI 10.1007/s10578-024-01667-5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3</w:t>
            </w:r>
          </w:p>
        </w:tc>
        <w:tc>
          <w:tcPr>
            <w:tcW w:type="dxa" w:w="1938"/>
            <w:tcW w:w="1701" w:type="dxa"/>
          </w:tcPr>
          <w:p>
            <w:r>
              <w:rPr>
                <w:rFonts w:ascii="Times New Roman" w:hAnsi="Times New Roman"/>
                <w:sz w:val="18"/>
              </w:rPr>
              <w:t>Vogelaar et al. 2024</w:t>
            </w:r>
          </w:p>
        </w:tc>
        <w:tc>
          <w:tcPr>
            <w:tcW w:type="dxa" w:w="1938"/>
            <w:tcW w:w="2268" w:type="dxa"/>
          </w:tcPr>
          <w:p>
            <w:r>
              <w:rPr>
                <w:rFonts w:ascii="Times New Roman" w:hAnsi="Times New Roman"/>
                <w:sz w:val="18"/>
              </w:rPr>
              <w:t>Thử nghiệm có đối chứng theo cụm n=1.613</w:t>
            </w:r>
          </w:p>
        </w:tc>
        <w:tc>
          <w:tcPr>
            <w:tcW w:type="dxa" w:w="1938"/>
            <w:tcW w:w="3118" w:type="dxa"/>
          </w:tcPr>
          <w:p>
            <w:r>
              <w:rPr>
                <w:rFonts w:ascii="Times New Roman" w:hAnsi="Times New Roman"/>
                <w:sz w:val="18"/>
              </w:rPr>
              <w:t>J School Psychology Vol 105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4</w:t>
            </w:r>
          </w:p>
        </w:tc>
        <w:tc>
          <w:tcPr>
            <w:tcW w:type="dxa" w:w="1938"/>
            <w:tcW w:w="1701" w:type="dxa"/>
          </w:tcPr>
          <w:p>
            <w:r>
              <w:rPr>
                <w:rFonts w:ascii="Times New Roman" w:hAnsi="Times New Roman"/>
                <w:sz w:val="18"/>
              </w:rPr>
              <w:t>Lochman 2025 (Coping Power)</w:t>
            </w:r>
          </w:p>
        </w:tc>
        <w:tc>
          <w:tcPr>
            <w:tcW w:type="dxa" w:w="1938"/>
            <w:tcW w:w="2268" w:type="dxa"/>
          </w:tcPr>
          <w:p>
            <w:r>
              <w:rPr>
                <w:rFonts w:ascii="Times New Roman" w:hAnsi="Times New Roman"/>
                <w:sz w:val="18"/>
              </w:rPr>
              <w:t>Thử nghiệm có đối chứng cấp trường</w:t>
            </w:r>
          </w:p>
        </w:tc>
        <w:tc>
          <w:tcPr>
            <w:tcW w:type="dxa" w:w="1938"/>
            <w:tcW w:w="3118" w:type="dxa"/>
          </w:tcPr>
          <w:p>
            <w:r>
              <w:rPr>
                <w:rFonts w:ascii="Times New Roman" w:hAnsi="Times New Roman"/>
                <w:sz w:val="18"/>
              </w:rPr>
              <w:t>J School Psychology</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5</w:t>
            </w:r>
          </w:p>
        </w:tc>
        <w:tc>
          <w:tcPr>
            <w:tcW w:type="dxa" w:w="1938"/>
            <w:tcW w:w="1701" w:type="dxa"/>
          </w:tcPr>
          <w:p>
            <w:r>
              <w:rPr>
                <w:rFonts w:ascii="Times New Roman" w:hAnsi="Times New Roman"/>
                <w:sz w:val="18"/>
              </w:rPr>
              <w:t>MDPI Pediatric Reports 2025</w:t>
            </w:r>
          </w:p>
        </w:tc>
        <w:tc>
          <w:tcPr>
            <w:tcW w:type="dxa" w:w="1938"/>
            <w:tcW w:w="2268" w:type="dxa"/>
          </w:tcPr>
          <w:p>
            <w:r>
              <w:rPr>
                <w:rFonts w:ascii="Times New Roman" w:hAnsi="Times New Roman"/>
                <w:sz w:val="18"/>
              </w:rPr>
              <w:t>Phân tích gộp 14 nghiên cứu</w:t>
            </w:r>
          </w:p>
        </w:tc>
        <w:tc>
          <w:tcPr>
            <w:tcW w:type="dxa" w:w="1938"/>
            <w:tcW w:w="3118" w:type="dxa"/>
          </w:tcPr>
          <w:p>
            <w:r>
              <w:rPr>
                <w:rFonts w:ascii="Times New Roman" w:hAnsi="Times New Roman"/>
                <w:sz w:val="18"/>
              </w:rPr>
              <w:t>Vol 17(3) Bài 59</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6</w:t>
            </w:r>
          </w:p>
        </w:tc>
        <w:tc>
          <w:tcPr>
            <w:tcW w:type="dxa" w:w="1938"/>
            <w:tcW w:w="1701" w:type="dxa"/>
          </w:tcPr>
          <w:p>
            <w:r>
              <w:rPr>
                <w:rFonts w:ascii="Times New Roman" w:hAnsi="Times New Roman"/>
                <w:sz w:val="18"/>
              </w:rPr>
              <w:t>PMC12173555 năm 2025</w:t>
            </w:r>
          </w:p>
        </w:tc>
        <w:tc>
          <w:tcPr>
            <w:tcW w:type="dxa" w:w="1938"/>
            <w:tcW w:w="2268" w:type="dxa"/>
          </w:tcPr>
          <w:p>
            <w:r>
              <w:rPr>
                <w:rFonts w:ascii="Times New Roman" w:hAnsi="Times New Roman"/>
                <w:sz w:val="18"/>
              </w:rPr>
              <w:t>Thử nghiệm có đối chứng 8+4 tuần</w:t>
            </w:r>
          </w:p>
        </w:tc>
        <w:tc>
          <w:tcPr>
            <w:tcW w:type="dxa" w:w="1938"/>
            <w:tcW w:w="3118" w:type="dxa"/>
          </w:tcPr>
          <w:p>
            <w:r>
              <w:rPr>
                <w:rFonts w:ascii="Times New Roman" w:hAnsi="Times New Roman"/>
                <w:sz w:val="18"/>
              </w:rPr>
              <w:t>PMC12173555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7</w:t>
            </w:r>
          </w:p>
        </w:tc>
        <w:tc>
          <w:tcPr>
            <w:tcW w:type="dxa" w:w="1938"/>
            <w:tcW w:w="1701" w:type="dxa"/>
          </w:tcPr>
          <w:p>
            <w:r>
              <w:rPr>
                <w:rFonts w:ascii="Times New Roman" w:hAnsi="Times New Roman"/>
                <w:sz w:val="18"/>
              </w:rPr>
              <w:t>Fulambarkar 2023 (cảnh báo)</w:t>
            </w:r>
          </w:p>
        </w:tc>
        <w:tc>
          <w:tcPr>
            <w:tcW w:type="dxa" w:w="1938"/>
            <w:tcW w:w="2268" w:type="dxa"/>
          </w:tcPr>
          <w:p>
            <w:r>
              <w:rPr>
                <w:rFonts w:ascii="Times New Roman" w:hAnsi="Times New Roman"/>
                <w:sz w:val="18"/>
              </w:rPr>
              <w:t>Phân tích gộp có tính phản biện</w:t>
            </w:r>
          </w:p>
        </w:tc>
        <w:tc>
          <w:tcPr>
            <w:tcW w:type="dxa" w:w="1938"/>
            <w:tcW w:w="3118" w:type="dxa"/>
          </w:tcPr>
          <w:p>
            <w:r>
              <w:rPr>
                <w:rFonts w:ascii="Times New Roman" w:hAnsi="Times New Roman"/>
                <w:sz w:val="18"/>
              </w:rPr>
              <w:t>DOI 10.1111/camh.12572</w:t>
            </w:r>
          </w:p>
        </w:tc>
        <w:tc>
          <w:tcPr>
            <w:tcW w:type="dxa" w:w="1938"/>
            <w:tcW w:w="1134" w:type="dxa"/>
          </w:tcPr>
          <w:p>
            <w:r>
              <w:rPr>
                <w:rFonts w:ascii="Times New Roman" w:hAnsi="Times New Roman"/>
                <w:sz w:val="18"/>
              </w:rPr>
              <w:t>⭐⭐⭐ (phản biện)</w:t>
            </w:r>
          </w:p>
        </w:tc>
      </w:tr>
      <w:tr>
        <w:tc>
          <w:tcPr>
            <w:tcW w:type="dxa" w:w="1938"/>
            <w:tcW w:w="396" w:type="dxa"/>
          </w:tcPr>
          <w:p>
            <w:r>
              <w:rPr>
                <w:rFonts w:ascii="Times New Roman" w:hAnsi="Times New Roman"/>
                <w:sz w:val="18"/>
              </w:rPr>
              <w:t>8</w:t>
            </w:r>
          </w:p>
        </w:tc>
        <w:tc>
          <w:tcPr>
            <w:tcW w:type="dxa" w:w="1938"/>
            <w:tcW w:w="1701" w:type="dxa"/>
          </w:tcPr>
          <w:p>
            <w:r>
              <w:rPr>
                <w:rFonts w:ascii="Times New Roman" w:hAnsi="Times New Roman"/>
                <w:sz w:val="18"/>
              </w:rPr>
              <w:t>School Mental Health 2023</w:t>
            </w:r>
          </w:p>
        </w:tc>
        <w:tc>
          <w:tcPr>
            <w:tcW w:type="dxa" w:w="1938"/>
            <w:tcW w:w="2268" w:type="dxa"/>
          </w:tcPr>
          <w:p>
            <w:r>
              <w:rPr>
                <w:rFonts w:ascii="Times New Roman" w:hAnsi="Times New Roman"/>
                <w:sz w:val="18"/>
              </w:rPr>
              <w:t>Nghiên cứu có đối chứng</w:t>
            </w:r>
          </w:p>
        </w:tc>
        <w:tc>
          <w:tcPr>
            <w:tcW w:type="dxa" w:w="1938"/>
            <w:tcW w:w="3118" w:type="dxa"/>
          </w:tcPr>
          <w:p>
            <w:r>
              <w:rPr>
                <w:rFonts w:ascii="Times New Roman" w:hAnsi="Times New Roman"/>
                <w:sz w:val="18"/>
              </w:rPr>
              <w:t>DOI 10.1007/s12310-023-09620-y</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9</w:t>
            </w:r>
          </w:p>
        </w:tc>
        <w:tc>
          <w:tcPr>
            <w:tcW w:type="dxa" w:w="1938"/>
            <w:tcW w:w="1701" w:type="dxa"/>
          </w:tcPr>
          <w:p>
            <w:r>
              <w:rPr>
                <w:rFonts w:ascii="Times New Roman" w:hAnsi="Times New Roman"/>
                <w:sz w:val="18"/>
              </w:rPr>
              <w:t>Springer Admin Policy 2024</w:t>
            </w:r>
          </w:p>
        </w:tc>
        <w:tc>
          <w:tcPr>
            <w:tcW w:type="dxa" w:w="1938"/>
            <w:tcW w:w="2268" w:type="dxa"/>
          </w:tcPr>
          <w:p>
            <w:r>
              <w:rPr>
                <w:rFonts w:ascii="Times New Roman" w:hAnsi="Times New Roman"/>
                <w:sz w:val="18"/>
              </w:rPr>
              <w:t>Phân tích gộp d=0,37</w:t>
            </w:r>
          </w:p>
        </w:tc>
        <w:tc>
          <w:tcPr>
            <w:tcW w:type="dxa" w:w="1938"/>
            <w:tcW w:w="3118" w:type="dxa"/>
          </w:tcPr>
          <w:p>
            <w:r>
              <w:rPr>
                <w:rFonts w:ascii="Times New Roman" w:hAnsi="Times New Roman"/>
                <w:sz w:val="18"/>
              </w:rPr>
              <w:t>DOI 10.1007/s10488-024-01373-3</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10</w:t>
            </w:r>
          </w:p>
        </w:tc>
        <w:tc>
          <w:tcPr>
            <w:tcW w:type="dxa" w:w="1938"/>
            <w:tcW w:w="1701" w:type="dxa"/>
          </w:tcPr>
          <w:p>
            <w:r>
              <w:rPr>
                <w:rFonts w:ascii="Times New Roman" w:hAnsi="Times New Roman"/>
                <w:sz w:val="18"/>
              </w:rPr>
              <w:t>Frontiers Psychiatry 2024</w:t>
            </w:r>
          </w:p>
        </w:tc>
        <w:tc>
          <w:tcPr>
            <w:tcW w:type="dxa" w:w="1938"/>
            <w:tcW w:w="2268" w:type="dxa"/>
          </w:tcPr>
          <w:p>
            <w:r>
              <w:rPr>
                <w:rFonts w:ascii="Times New Roman" w:hAnsi="Times New Roman"/>
                <w:sz w:val="18"/>
              </w:rPr>
              <w:t>Đào tạo kỹ năng điều hoà cảm xúc</w:t>
            </w:r>
          </w:p>
        </w:tc>
        <w:tc>
          <w:tcPr>
            <w:tcW w:type="dxa" w:w="1938"/>
            <w:tcW w:w="3118" w:type="dxa"/>
          </w:tcPr>
          <w:p>
            <w:r>
              <w:rPr>
                <w:rFonts w:ascii="Times New Roman" w:hAnsi="Times New Roman"/>
                <w:sz w:val="18"/>
              </w:rPr>
              <w:t>DOI 10.3389/fpsyt.2024.1448529</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11</w:t>
            </w:r>
          </w:p>
        </w:tc>
        <w:tc>
          <w:tcPr>
            <w:tcW w:type="dxa" w:w="1938"/>
            <w:tcW w:w="1701" w:type="dxa"/>
          </w:tcPr>
          <w:p>
            <w:r>
              <w:rPr>
                <w:rFonts w:ascii="Times New Roman" w:hAnsi="Times New Roman"/>
                <w:sz w:val="18"/>
              </w:rPr>
              <w:t>JMIR Pediatrics 2024</w:t>
            </w:r>
          </w:p>
        </w:tc>
        <w:tc>
          <w:tcPr>
            <w:tcW w:type="dxa" w:w="1938"/>
            <w:tcW w:w="2268" w:type="dxa"/>
          </w:tcPr>
          <w:p>
            <w:r>
              <w:rPr>
                <w:rFonts w:ascii="Times New Roman" w:hAnsi="Times New Roman"/>
                <w:sz w:val="18"/>
              </w:rPr>
              <w:t>Thử nghiệm có đối chứng đa trung tâm</w:t>
            </w:r>
          </w:p>
        </w:tc>
        <w:tc>
          <w:tcPr>
            <w:tcW w:type="dxa" w:w="1938"/>
            <w:tcW w:w="3118" w:type="dxa"/>
          </w:tcPr>
          <w:p>
            <w:r>
              <w:rPr>
                <w:rFonts w:ascii="Times New Roman" w:hAnsi="Times New Roman"/>
                <w:sz w:val="18"/>
              </w:rPr>
              <w:t>DOI 10.2196/55786</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12</w:t>
            </w:r>
          </w:p>
        </w:tc>
        <w:tc>
          <w:tcPr>
            <w:tcW w:type="dxa" w:w="1938"/>
            <w:tcW w:w="1701" w:type="dxa"/>
          </w:tcPr>
          <w:p>
            <w:r>
              <w:rPr>
                <w:rFonts w:ascii="Times New Roman" w:hAnsi="Times New Roman"/>
                <w:sz w:val="18"/>
              </w:rPr>
              <w:t>JMIR Serious Games 2022</w:t>
            </w:r>
          </w:p>
        </w:tc>
        <w:tc>
          <w:tcPr>
            <w:tcW w:type="dxa" w:w="1938"/>
            <w:tcW w:w="2268" w:type="dxa"/>
          </w:tcPr>
          <w:p>
            <w:r>
              <w:rPr>
                <w:rFonts w:ascii="Times New Roman" w:hAnsi="Times New Roman"/>
                <w:sz w:val="18"/>
              </w:rPr>
              <w:t>Tổng quan hệ thống số</w:t>
            </w:r>
          </w:p>
        </w:tc>
        <w:tc>
          <w:tcPr>
            <w:tcW w:type="dxa" w:w="1938"/>
            <w:tcW w:w="3118" w:type="dxa"/>
          </w:tcPr>
          <w:p>
            <w:r>
              <w:rPr>
                <w:rFonts w:ascii="Times New Roman" w:hAnsi="Times New Roman"/>
                <w:sz w:val="18"/>
              </w:rPr>
              <w:t>DOI 10.2196/31456</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13</w:t>
            </w:r>
          </w:p>
        </w:tc>
        <w:tc>
          <w:tcPr>
            <w:tcW w:type="dxa" w:w="1938"/>
            <w:tcW w:w="1701" w:type="dxa"/>
          </w:tcPr>
          <w:p>
            <w:r>
              <w:rPr>
                <w:rFonts w:ascii="Times New Roman" w:hAnsi="Times New Roman"/>
                <w:sz w:val="18"/>
              </w:rPr>
              <w:t>Murphy 2024 (hỗ trợ ngang hàng)</w:t>
            </w:r>
          </w:p>
        </w:tc>
        <w:tc>
          <w:tcPr>
            <w:tcW w:type="dxa" w:w="1938"/>
            <w:tcW w:w="2268" w:type="dxa"/>
          </w:tcPr>
          <w:p>
            <w:r>
              <w:rPr>
                <w:rFonts w:ascii="Times New Roman" w:hAnsi="Times New Roman"/>
                <w:sz w:val="18"/>
              </w:rPr>
              <w:t>Tổng quan phạm vi hệ thống</w:t>
            </w:r>
          </w:p>
        </w:tc>
        <w:tc>
          <w:tcPr>
            <w:tcW w:type="dxa" w:w="1938"/>
            <w:tcW w:w="3118" w:type="dxa"/>
          </w:tcPr>
          <w:p>
            <w:r>
              <w:rPr>
                <w:rFonts w:ascii="Times New Roman" w:hAnsi="Times New Roman"/>
                <w:sz w:val="18"/>
              </w:rPr>
              <w:t>DOI 10.1002/jcop.23090</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14</w:t>
            </w:r>
          </w:p>
        </w:tc>
        <w:tc>
          <w:tcPr>
            <w:tcW w:type="dxa" w:w="1938"/>
            <w:tcW w:w="1701" w:type="dxa"/>
          </w:tcPr>
          <w:p>
            <w:r>
              <w:rPr>
                <w:rFonts w:ascii="Times New Roman" w:hAnsi="Times New Roman"/>
                <w:sz w:val="18"/>
              </w:rPr>
              <w:t>NCBI NBK602668</w:t>
            </w:r>
          </w:p>
        </w:tc>
        <w:tc>
          <w:tcPr>
            <w:tcW w:type="dxa" w:w="1938"/>
            <w:tcW w:w="2268" w:type="dxa"/>
          </w:tcPr>
          <w:p>
            <w:r>
              <w:rPr>
                <w:rFonts w:ascii="Times New Roman" w:hAnsi="Times New Roman"/>
                <w:sz w:val="18"/>
              </w:rPr>
              <w:t>Tổng quan của chính phủ Anh</w:t>
            </w:r>
          </w:p>
        </w:tc>
        <w:tc>
          <w:tcPr>
            <w:tcW w:type="dxa" w:w="1938"/>
            <w:tcW w:w="3118" w:type="dxa"/>
          </w:tcPr>
          <w:p>
            <w:r>
              <w:rPr>
                <w:rFonts w:ascii="Times New Roman" w:hAnsi="Times New Roman"/>
                <w:sz w:val="18"/>
              </w:rPr>
              <w:t>NBK602668</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15</w:t>
            </w:r>
          </w:p>
        </w:tc>
        <w:tc>
          <w:tcPr>
            <w:tcW w:type="dxa" w:w="1938"/>
            <w:tcW w:w="1701" w:type="dxa"/>
          </w:tcPr>
          <w:p>
            <w:r>
              <w:rPr>
                <w:rFonts w:ascii="Times New Roman" w:hAnsi="Times New Roman"/>
                <w:sz w:val="18"/>
              </w:rPr>
              <w:t>Lancet RH Western Pacific 2024</w:t>
            </w:r>
          </w:p>
        </w:tc>
        <w:tc>
          <w:tcPr>
            <w:tcW w:type="dxa" w:w="1938"/>
            <w:tcW w:w="2268" w:type="dxa"/>
          </w:tcPr>
          <w:p>
            <w:r>
              <w:rPr>
                <w:rFonts w:ascii="Times New Roman" w:hAnsi="Times New Roman"/>
                <w:sz w:val="18"/>
              </w:rPr>
              <w:t>Tổng quan phạm vi (Trung Quốc)</w:t>
            </w:r>
          </w:p>
        </w:tc>
        <w:tc>
          <w:tcPr>
            <w:tcW w:type="dxa" w:w="1938"/>
            <w:tcW w:w="3118" w:type="dxa"/>
          </w:tcPr>
          <w:p>
            <w:r>
              <w:rPr>
                <w:rFonts w:ascii="Times New Roman" w:hAnsi="Times New Roman"/>
                <w:sz w:val="18"/>
              </w:rPr>
              <w:t>PIIS2666-6065(24)00237-2</w:t>
            </w:r>
          </w:p>
        </w:tc>
        <w:tc>
          <w:tcPr>
            <w:tcW w:type="dxa" w:w="1938"/>
            <w:tcW w:w="1134" w:type="dxa"/>
          </w:tcPr>
          <w:p>
            <w:r>
              <w:rPr>
                <w:rFonts w:ascii="Times New Roman" w:hAnsi="Times New Roman"/>
                <w:sz w:val="18"/>
              </w:rPr>
              <w:t>⭐⭐⭐</w:t>
            </w:r>
          </w:p>
        </w:tc>
      </w:tr>
    </w:tbl>
    <w:p>
      <w:r>
        <w:rPr>
          <w:rFonts w:ascii="Times New Roman" w:hAnsi="Times New Roman"/>
          <w:b/>
          <w:color w:val="0070C0"/>
          <w:sz w:val="30"/>
        </w:rPr>
        <w:t>PHẦN 4 — KHUYẾN NGHỊ ÁP DỤNG CHO VIỆT NAM</w:t>
      </w:r>
    </w:p>
    <w:p>
      <w:r>
        <w:rPr>
          <w:rFonts w:ascii="Times New Roman" w:hAnsi="Times New Roman"/>
          <w:b/>
          <w:color w:val="0070C0"/>
          <w:sz w:val="26"/>
        </w:rPr>
        <w:t>4.1. Thứ tự ưu tiên các hướng can thiệp (theo độ mạnh bằng chứng)</w:t>
      </w:r>
    </w:p>
    <w:p>
      <w:r>
        <w:rPr>
          <w:rFonts w:ascii="Times New Roman" w:hAnsi="Times New Roman"/>
          <w:b/>
          <w:i w:val="0"/>
          <w:sz w:val="24"/>
        </w:rPr>
        <w:t>Dựa trên 15 nghiên cứu trên, em đề xuất thứ tự ưu tiên cho học sinh trung học Việt Nam (TỪ MẠNH NHẤT đến yếu nhất):</w:t>
      </w:r>
    </w:p>
    <w:p>
      <w:r>
        <w:rPr>
          <w:rFonts w:ascii="Times New Roman" w:hAnsi="Times New Roman"/>
          <w:b w:val="0"/>
          <w:i w:val="0"/>
          <w:sz w:val="24"/>
        </w:rPr>
        <w:t>(1) Quản lý căng thẳng dựa trên Liệu pháp nhận thức – hành vi (đào tạo kỹ năng) — kích thước hiệu ứng nhỏ đến trung bình, nhất quán nhất.</w:t>
      </w:r>
    </w:p>
    <w:p>
      <w:r>
        <w:rPr>
          <w:rFonts w:ascii="Times New Roman" w:hAnsi="Times New Roman"/>
          <w:b w:val="0"/>
          <w:i w:val="0"/>
          <w:sz w:val="24"/>
        </w:rPr>
        <w:t>(2) Đào tạo kỹ năng điều hoà cảm xúc (kỹ thuật từ DBT, ACT, CBT tập trung cảm xúc) — hệ số hiệu ứng khoảng 0,37 (mức trung bình).</w:t>
      </w:r>
    </w:p>
    <w:p>
      <w:r>
        <w:rPr>
          <w:rFonts w:ascii="Times New Roman" w:hAnsi="Times New Roman"/>
          <w:b w:val="0"/>
          <w:i w:val="0"/>
          <w:sz w:val="24"/>
        </w:rPr>
        <w:t>(3) Cơ chế tự giới thiệu có chỉ định (đã chứng minh trong nghiên cứu BESST 2024 đã được dịch và phản biện trong dự án) — đạt hiệu quả trung bình d=−0,52 cho nhóm đã có triệu chứng cao; phù hợp với mô hình PLACES của Brown 2022.</w:t>
      </w:r>
    </w:p>
    <w:p>
      <w:r>
        <w:rPr>
          <w:rFonts w:ascii="Times New Roman" w:hAnsi="Times New Roman"/>
          <w:b w:val="0"/>
          <w:i w:val="0"/>
          <w:sz w:val="24"/>
        </w:rPr>
        <w:t>(4) Liệu pháp nhận thức – hành vi qua mạng — có thể triển khai quy mô lớn nhưng tỉ lệ duy trì tham gia thấp khi không có người hướng dẫn.</w:t>
      </w:r>
    </w:p>
    <w:p>
      <w:r>
        <w:rPr>
          <w:rFonts w:ascii="Times New Roman" w:hAnsi="Times New Roman"/>
          <w:b w:val="0"/>
          <w:i w:val="0"/>
          <w:sz w:val="24"/>
        </w:rPr>
        <w:t>(5) Chánh niệm phổ quát (cho mọi học sinh) — hiệu ứng nhỏ (kích thước chuẩn hoá = −0,14); cần thận trọng với mô hình thất bại MYRIAD ở Anh.</w:t>
      </w:r>
    </w:p>
    <w:p>
      <w:r>
        <w:rPr>
          <w:rFonts w:ascii="Times New Roman" w:hAnsi="Times New Roman"/>
          <w:b w:val="0"/>
          <w:i w:val="0"/>
          <w:sz w:val="24"/>
        </w:rPr>
        <w:t>(6) Hỗ trợ từ bạn đồng trang lứa — hứa hẹn nhưng bằng chứng còn yếu (chưa có đủ thử nghiệm có đối chứng).</w:t>
      </w:r>
    </w:p>
    <w:p>
      <w:r>
        <w:rPr>
          <w:rFonts w:ascii="Times New Roman" w:hAnsi="Times New Roman"/>
          <w:b/>
          <w:color w:val="0070C0"/>
          <w:sz w:val="26"/>
        </w:rPr>
        <w:t>4.2. Đề xuất chương trình 12 tuần cho học sinh trung học Việt Nam</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680" w:type="dxa"/>
            <w:shd w:fill="D9E2F3" w:val="clear"/>
          </w:tcPr>
          <w:p>
            <w:pPr>
              <w:jc w:val="center"/>
            </w:pPr>
            <w:r>
              <w:rPr>
                <w:rFonts w:ascii="Times New Roman" w:hAnsi="Times New Roman"/>
                <w:b/>
                <w:sz w:val="20"/>
              </w:rPr>
              <w:t>Tuần</w:t>
            </w:r>
          </w:p>
        </w:tc>
        <w:tc>
          <w:tcPr>
            <w:tcW w:type="dxa" w:w="2422"/>
            <w:tcW w:w="2551" w:type="dxa"/>
            <w:shd w:fill="D9E2F3" w:val="clear"/>
          </w:tcPr>
          <w:p>
            <w:pPr>
              <w:jc w:val="center"/>
            </w:pPr>
            <w:r>
              <w:rPr>
                <w:rFonts w:ascii="Times New Roman" w:hAnsi="Times New Roman"/>
                <w:b/>
                <w:sz w:val="20"/>
              </w:rPr>
              <w:t>Nội dung</w:t>
            </w:r>
          </w:p>
        </w:tc>
        <w:tc>
          <w:tcPr>
            <w:tcW w:type="dxa" w:w="2422"/>
            <w:tcW w:w="2721" w:type="dxa"/>
            <w:shd w:fill="D9E2F3" w:val="clear"/>
          </w:tcPr>
          <w:p>
            <w:pPr>
              <w:jc w:val="center"/>
            </w:pPr>
            <w:r>
              <w:rPr>
                <w:rFonts w:ascii="Times New Roman" w:hAnsi="Times New Roman"/>
                <w:b/>
                <w:sz w:val="20"/>
              </w:rPr>
              <w:t>Phương pháp triển khai</w:t>
            </w:r>
          </w:p>
        </w:tc>
        <w:tc>
          <w:tcPr>
            <w:tcW w:type="dxa" w:w="2422"/>
            <w:tcW w:w="2551" w:type="dxa"/>
            <w:shd w:fill="D9E2F3" w:val="clear"/>
          </w:tcPr>
          <w:p>
            <w:pPr>
              <w:jc w:val="center"/>
            </w:pPr>
            <w:r>
              <w:rPr>
                <w:rFonts w:ascii="Times New Roman" w:hAnsi="Times New Roman"/>
                <w:b/>
                <w:sz w:val="20"/>
              </w:rPr>
              <w:t>Cơ sở khoa học</w:t>
            </w:r>
          </w:p>
        </w:tc>
      </w:tr>
      <w:tr>
        <w:tc>
          <w:tcPr>
            <w:tcW w:type="dxa" w:w="2422"/>
            <w:tcW w:w="680" w:type="dxa"/>
          </w:tcPr>
          <w:p>
            <w:r>
              <w:rPr>
                <w:rFonts w:ascii="Times New Roman" w:hAnsi="Times New Roman"/>
                <w:sz w:val="18"/>
              </w:rPr>
              <w:t>Tuần 1–2</w:t>
            </w:r>
          </w:p>
        </w:tc>
        <w:tc>
          <w:tcPr>
            <w:tcW w:type="dxa" w:w="2422"/>
            <w:tcW w:w="2551" w:type="dxa"/>
          </w:tcPr>
          <w:p>
            <w:r>
              <w:rPr>
                <w:rFonts w:ascii="Times New Roman" w:hAnsi="Times New Roman"/>
                <w:sz w:val="18"/>
              </w:rPr>
              <w:t>Hiểu biết về sức khỏe tâm thần + Giảm kỳ thị</w:t>
            </w:r>
          </w:p>
        </w:tc>
        <w:tc>
          <w:tcPr>
            <w:tcW w:type="dxa" w:w="2422"/>
            <w:tcW w:w="2721" w:type="dxa"/>
          </w:tcPr>
          <w:p>
            <w:r>
              <w:rPr>
                <w:rFonts w:ascii="Times New Roman" w:hAnsi="Times New Roman"/>
                <w:sz w:val="18"/>
              </w:rPr>
              <w:t>Tâm lý giáo dục cho toàn lớp (3 buổi × 45 phút)</w:t>
            </w:r>
          </w:p>
        </w:tc>
        <w:tc>
          <w:tcPr>
            <w:tcW w:type="dxa" w:w="2422"/>
            <w:tcW w:w="2551" w:type="dxa"/>
          </w:tcPr>
          <w:p>
            <w:r>
              <w:rPr>
                <w:rFonts w:ascii="Times New Roman" w:hAnsi="Times New Roman"/>
                <w:sz w:val="18"/>
              </w:rPr>
              <w:t>Vogelaar 2024 + nguyên tắc Lay (đặt tên theo ngôn ngữ thường ngày) từ mô hình PLACES</w:t>
            </w:r>
          </w:p>
        </w:tc>
      </w:tr>
      <w:tr>
        <w:tc>
          <w:tcPr>
            <w:tcW w:type="dxa" w:w="2422"/>
            <w:tcW w:w="680" w:type="dxa"/>
          </w:tcPr>
          <w:p>
            <w:r>
              <w:rPr>
                <w:rFonts w:ascii="Times New Roman" w:hAnsi="Times New Roman"/>
                <w:sz w:val="18"/>
              </w:rPr>
              <w:t>Tuần 3–4</w:t>
            </w:r>
          </w:p>
        </w:tc>
        <w:tc>
          <w:tcPr>
            <w:tcW w:type="dxa" w:w="2422"/>
            <w:tcW w:w="2551" w:type="dxa"/>
          </w:tcPr>
          <w:p>
            <w:r>
              <w:rPr>
                <w:rFonts w:ascii="Times New Roman" w:hAnsi="Times New Roman"/>
                <w:sz w:val="18"/>
              </w:rPr>
              <w:t>CBT cốt lõi: Nhận diện cảm xúc + suy nghĩ tiêu cực</w:t>
            </w:r>
          </w:p>
        </w:tc>
        <w:tc>
          <w:tcPr>
            <w:tcW w:type="dxa" w:w="2422"/>
            <w:tcW w:w="2721" w:type="dxa"/>
          </w:tcPr>
          <w:p>
            <w:r>
              <w:rPr>
                <w:rFonts w:ascii="Times New Roman" w:hAnsi="Times New Roman"/>
                <w:sz w:val="18"/>
              </w:rPr>
              <w:t>Workshop nhóm 60–90 phút/tuần</w:t>
            </w:r>
          </w:p>
        </w:tc>
        <w:tc>
          <w:tcPr>
            <w:tcW w:type="dxa" w:w="2422"/>
            <w:tcW w:w="2551" w:type="dxa"/>
          </w:tcPr>
          <w:p>
            <w:r>
              <w:rPr>
                <w:rFonts w:ascii="Times New Roman" w:hAnsi="Times New Roman"/>
                <w:sz w:val="18"/>
              </w:rPr>
              <w:t>Brown 2024 BESST với chương trình DISCOVER</w:t>
            </w:r>
          </w:p>
        </w:tc>
      </w:tr>
      <w:tr>
        <w:tc>
          <w:tcPr>
            <w:tcW w:type="dxa" w:w="2422"/>
            <w:tcW w:w="680" w:type="dxa"/>
          </w:tcPr>
          <w:p>
            <w:r>
              <w:rPr>
                <w:rFonts w:ascii="Times New Roman" w:hAnsi="Times New Roman"/>
                <w:sz w:val="18"/>
              </w:rPr>
              <w:t>Tuần 5–6</w:t>
            </w:r>
          </w:p>
        </w:tc>
        <w:tc>
          <w:tcPr>
            <w:tcW w:type="dxa" w:w="2422"/>
            <w:tcW w:w="2551" w:type="dxa"/>
          </w:tcPr>
          <w:p>
            <w:r>
              <w:rPr>
                <w:rFonts w:ascii="Times New Roman" w:hAnsi="Times New Roman"/>
                <w:sz w:val="18"/>
              </w:rPr>
              <w:t>Kỹ năng CBT: Tái cấu trúc nhận thức + kích hoạt hành vi</w:t>
            </w:r>
          </w:p>
        </w:tc>
        <w:tc>
          <w:tcPr>
            <w:tcW w:type="dxa" w:w="2422"/>
            <w:tcW w:w="2721" w:type="dxa"/>
          </w:tcPr>
          <w:p>
            <w:r>
              <w:rPr>
                <w:rFonts w:ascii="Times New Roman" w:hAnsi="Times New Roman"/>
                <w:sz w:val="18"/>
              </w:rPr>
              <w:t>Workshop + đóng vai + sách bài tập</w:t>
            </w:r>
          </w:p>
        </w:tc>
        <w:tc>
          <w:tcPr>
            <w:tcW w:type="dxa" w:w="2422"/>
            <w:tcW w:w="2551" w:type="dxa"/>
          </w:tcPr>
          <w:p>
            <w:r>
              <w:rPr>
                <w:rFonts w:ascii="Times New Roman" w:hAnsi="Times New Roman"/>
                <w:sz w:val="18"/>
              </w:rPr>
              <w:t>Sách hướng dẫn DISCOVER</w:t>
            </w:r>
          </w:p>
        </w:tc>
      </w:tr>
      <w:tr>
        <w:tc>
          <w:tcPr>
            <w:tcW w:type="dxa" w:w="2422"/>
            <w:tcW w:w="680" w:type="dxa"/>
          </w:tcPr>
          <w:p>
            <w:r>
              <w:rPr>
                <w:rFonts w:ascii="Times New Roman" w:hAnsi="Times New Roman"/>
                <w:sz w:val="18"/>
              </w:rPr>
              <w:t>Tuần 7–8</w:t>
            </w:r>
          </w:p>
        </w:tc>
        <w:tc>
          <w:tcPr>
            <w:tcW w:type="dxa" w:w="2422"/>
            <w:tcW w:w="2551" w:type="dxa"/>
          </w:tcPr>
          <w:p>
            <w:r>
              <w:rPr>
                <w:rFonts w:ascii="Times New Roman" w:hAnsi="Times New Roman"/>
                <w:sz w:val="18"/>
              </w:rPr>
              <w:t>Đào tạo kỹ năng điều hoà cảm xúc</w:t>
            </w:r>
          </w:p>
        </w:tc>
        <w:tc>
          <w:tcPr>
            <w:tcW w:type="dxa" w:w="2422"/>
            <w:tcW w:w="2721" w:type="dxa"/>
          </w:tcPr>
          <w:p>
            <w:r>
              <w:rPr>
                <w:rFonts w:ascii="Times New Roman" w:hAnsi="Times New Roman"/>
                <w:sz w:val="18"/>
              </w:rPr>
              <w:t>Module DBT (chánh niệm + chịu đựng đau khổ + điều hoà cảm xúc + hiệu quả giao tiếp)</w:t>
            </w:r>
          </w:p>
        </w:tc>
        <w:tc>
          <w:tcPr>
            <w:tcW w:type="dxa" w:w="2422"/>
            <w:tcW w:w="2551" w:type="dxa"/>
          </w:tcPr>
          <w:p>
            <w:r>
              <w:rPr>
                <w:rFonts w:ascii="Times New Roman" w:hAnsi="Times New Roman"/>
                <w:sz w:val="18"/>
              </w:rPr>
              <w:t>Springer Admin Policy 2024 với hệ số d=0,37</w:t>
            </w:r>
          </w:p>
        </w:tc>
      </w:tr>
      <w:tr>
        <w:tc>
          <w:tcPr>
            <w:tcW w:type="dxa" w:w="2422"/>
            <w:tcW w:w="680" w:type="dxa"/>
          </w:tcPr>
          <w:p>
            <w:r>
              <w:rPr>
                <w:rFonts w:ascii="Times New Roman" w:hAnsi="Times New Roman"/>
                <w:sz w:val="18"/>
              </w:rPr>
              <w:t>Tuần 9–10</w:t>
            </w:r>
          </w:p>
        </w:tc>
        <w:tc>
          <w:tcPr>
            <w:tcW w:type="dxa" w:w="2422"/>
            <w:tcW w:w="2551" w:type="dxa"/>
          </w:tcPr>
          <w:p>
            <w:r>
              <w:rPr>
                <w:rFonts w:ascii="Times New Roman" w:hAnsi="Times New Roman"/>
                <w:sz w:val="18"/>
              </w:rPr>
              <w:t>Các kỹ năng ứng phó bổ sung</w:t>
            </w:r>
          </w:p>
        </w:tc>
        <w:tc>
          <w:tcPr>
            <w:tcW w:type="dxa" w:w="2422"/>
            <w:tcW w:w="2721" w:type="dxa"/>
          </w:tcPr>
          <w:p>
            <w:r>
              <w:rPr>
                <w:rFonts w:ascii="Times New Roman" w:hAnsi="Times New Roman"/>
                <w:sz w:val="18"/>
              </w:rPr>
              <w:t>Tập thể dục, vệ sinh giấc ngủ, quản lý thời gian</w:t>
            </w:r>
          </w:p>
        </w:tc>
        <w:tc>
          <w:tcPr>
            <w:tcW w:type="dxa" w:w="2422"/>
            <w:tcW w:w="2551" w:type="dxa"/>
          </w:tcPr>
          <w:p>
            <w:r>
              <w:rPr>
                <w:rFonts w:ascii="Times New Roman" w:hAnsi="Times New Roman"/>
                <w:sz w:val="18"/>
              </w:rPr>
              <w:t>Springer 2024 + nghiên cứu QT08 Wen 2020 ở Trung Quốc nông thôn</w:t>
            </w:r>
          </w:p>
        </w:tc>
      </w:tr>
      <w:tr>
        <w:tc>
          <w:tcPr>
            <w:tcW w:type="dxa" w:w="2422"/>
            <w:tcW w:w="680" w:type="dxa"/>
          </w:tcPr>
          <w:p>
            <w:r>
              <w:rPr>
                <w:rFonts w:ascii="Times New Roman" w:hAnsi="Times New Roman"/>
                <w:sz w:val="18"/>
              </w:rPr>
              <w:t>Tuần 11</w:t>
            </w:r>
          </w:p>
        </w:tc>
        <w:tc>
          <w:tcPr>
            <w:tcW w:type="dxa" w:w="2422"/>
            <w:tcW w:w="2551" w:type="dxa"/>
          </w:tcPr>
          <w:p>
            <w:r>
              <w:rPr>
                <w:rFonts w:ascii="Times New Roman" w:hAnsi="Times New Roman"/>
                <w:sz w:val="18"/>
              </w:rPr>
              <w:t>Hỗ trợ ngang hàng + xây dựng cộng đồng</w:t>
            </w:r>
          </w:p>
        </w:tc>
        <w:tc>
          <w:tcPr>
            <w:tcW w:type="dxa" w:w="2422"/>
            <w:tcW w:w="2721" w:type="dxa"/>
          </w:tcPr>
          <w:p>
            <w:r>
              <w:rPr>
                <w:rFonts w:ascii="Times New Roman" w:hAnsi="Times New Roman"/>
                <w:sz w:val="18"/>
              </w:rPr>
              <w:t>Chia sẻ nhóm + hệ thống bạn đồng hành</w:t>
            </w:r>
          </w:p>
        </w:tc>
        <w:tc>
          <w:tcPr>
            <w:tcW w:type="dxa" w:w="2422"/>
            <w:tcW w:w="2551" w:type="dxa"/>
          </w:tcPr>
          <w:p>
            <w:r>
              <w:rPr>
                <w:rFonts w:ascii="Times New Roman" w:hAnsi="Times New Roman"/>
                <w:sz w:val="18"/>
              </w:rPr>
              <w:t>Murphy 2024</w:t>
            </w:r>
          </w:p>
        </w:tc>
      </w:tr>
      <w:tr>
        <w:tc>
          <w:tcPr>
            <w:tcW w:type="dxa" w:w="2422"/>
            <w:tcW w:w="680" w:type="dxa"/>
          </w:tcPr>
          <w:p>
            <w:r>
              <w:rPr>
                <w:rFonts w:ascii="Times New Roman" w:hAnsi="Times New Roman"/>
                <w:sz w:val="18"/>
              </w:rPr>
              <w:t>Tuần 12</w:t>
            </w:r>
          </w:p>
        </w:tc>
        <w:tc>
          <w:tcPr>
            <w:tcW w:type="dxa" w:w="2422"/>
            <w:tcW w:w="2551" w:type="dxa"/>
          </w:tcPr>
          <w:p>
            <w:r>
              <w:rPr>
                <w:rFonts w:ascii="Times New Roman" w:hAnsi="Times New Roman"/>
                <w:sz w:val="18"/>
              </w:rPr>
              <w:t>Củng cố + phòng ngừa tái phát</w:t>
            </w:r>
          </w:p>
        </w:tc>
        <w:tc>
          <w:tcPr>
            <w:tcW w:type="dxa" w:w="2422"/>
            <w:tcW w:w="2721" w:type="dxa"/>
          </w:tcPr>
          <w:p>
            <w:r>
              <w:rPr>
                <w:rFonts w:ascii="Times New Roman" w:hAnsi="Times New Roman"/>
                <w:sz w:val="18"/>
              </w:rPr>
              <w:t>Ôn tập + cá nhân hoá mục tiêu + buổi củng cố sau 4 tuần</w:t>
            </w:r>
          </w:p>
        </w:tc>
        <w:tc>
          <w:tcPr>
            <w:tcW w:type="dxa" w:w="2422"/>
            <w:tcW w:w="2551" w:type="dxa"/>
          </w:tcPr>
          <w:p>
            <w:r>
              <w:rPr>
                <w:rFonts w:ascii="Times New Roman" w:hAnsi="Times New Roman"/>
                <w:sz w:val="18"/>
              </w:rPr>
              <w:t>PMC12173555 (mô hình củng cố sau)</w:t>
            </w:r>
          </w:p>
        </w:tc>
      </w:tr>
    </w:tbl>
    <w:p>
      <w:r>
        <w:rPr>
          <w:rFonts w:ascii="Times New Roman" w:hAnsi="Times New Roman"/>
          <w:b/>
          <w:color w:val="0070C0"/>
          <w:sz w:val="26"/>
        </w:rPr>
        <w:t>4.3. Mô hình triển khai khả thi cho Việt Nam</w:t>
      </w:r>
    </w:p>
    <w:p>
      <w:r>
        <w:rPr>
          <w:rFonts w:ascii="Times New Roman" w:hAnsi="Times New Roman"/>
          <w:b w:val="0"/>
          <w:i w:val="0"/>
          <w:sz w:val="24"/>
        </w:rPr>
        <w:t>• Cấp trường: Tích hợp chương trình 12 tuần vào tiết HĐTN-HN hoặc Giáo dục công dân lớp 10–12 (ưu tiên lớp 11–12 do áp lực thi đại học cao nhất). Một tiết mỗi tuần × 60 phút (linh hoạt theo thời khoá biểu).</w:t>
      </w:r>
    </w:p>
    <w:p>
      <w:r>
        <w:rPr>
          <w:rFonts w:ascii="Times New Roman" w:hAnsi="Times New Roman"/>
          <w:b w:val="0"/>
          <w:i w:val="0"/>
          <w:sz w:val="24"/>
        </w:rPr>
        <w:t>• Người cung cấp can thiệp: Cán bộ tư vấn học đường (theo Thông tư 31/2017/TT-BGDĐT về tư vấn tâm lý cho học sinh) + chuyên gia tâm lý liên trường giám sát hằng tháng. Cần đào tạo CBT 5–7 ngày + buổi củng cố hằng quý.</w:t>
      </w:r>
    </w:p>
    <w:p>
      <w:r>
        <w:rPr>
          <w:rFonts w:ascii="Times New Roman" w:hAnsi="Times New Roman"/>
          <w:b w:val="0"/>
          <w:i w:val="0"/>
          <w:sz w:val="24"/>
        </w:rPr>
        <w:t>• Cơ chế tự giới thiệu (self-referral): Học sinh tự đăng ký qua ứng dụng / trang web ẩn danh; tránh kênh giáo viên chủ nhiệm để giảm kỳ thị (theo nghiên cứu BESST 2024 + mô hình PLACES).</w:t>
      </w:r>
    </w:p>
    <w:p>
      <w:r>
        <w:rPr>
          <w:rFonts w:ascii="Times New Roman" w:hAnsi="Times New Roman"/>
          <w:b w:val="0"/>
          <w:i w:val="0"/>
          <w:sz w:val="24"/>
        </w:rPr>
        <w:t>• Sàng lọc: Sử dụng thang GAD-7 (đã có chuẩn Việt Nam, hệ số tin cậy Cronbach alpha = 0,916 theo Hoa 2024) hoặc PHQ-9 (chuẩn Việt Nam của Trần Tuấn 2017) vào đầu năm học. Học sinh có điểm ≥ 5 (mức nhẹ) hoặc ≥ 10 (mức trung bình) được mời tham gia chương trình có chỉ định; học sinh bình thường vẫn nhận phần phổ quát (hiểu biết SKTT + giảm kỳ thị).</w:t>
      </w:r>
    </w:p>
    <w:p>
      <w:r>
        <w:rPr>
          <w:rFonts w:ascii="Times New Roman" w:hAnsi="Times New Roman"/>
          <w:b w:val="0"/>
          <w:i w:val="0"/>
          <w:sz w:val="24"/>
        </w:rPr>
        <w:t>• Hỗ trợ qua công nghệ: Ứng dụng tiếng Việt với các module CBT + chatbot + nhắc nhở củng cố qua tin nhắn (bản địa hoá từ mô hình JMIR Pediatrics 2024).</w:t>
      </w:r>
    </w:p>
    <w:p>
      <w:r>
        <w:rPr>
          <w:rFonts w:ascii="Times New Roman" w:hAnsi="Times New Roman"/>
          <w:b/>
          <w:color w:val="0070C0"/>
          <w:sz w:val="30"/>
        </w:rPr>
        <w:t>PHẦN 5 — THAM KHẢO ĐẦY ĐỦ</w:t>
      </w:r>
    </w:p>
    <w:p>
      <w:r>
        <w:rPr>
          <w:rFonts w:ascii="Times New Roman" w:hAnsi="Times New Roman"/>
          <w:b w:val="0"/>
          <w:i/>
          <w:color w:val="555555"/>
          <w:sz w:val="24"/>
        </w:rPr>
        <w:t>(15 tài liệu — mỗi tài liệu có DOI, mã PubMed Central nếu có, và đường dẫn truy cập.)</w:t>
      </w:r>
    </w:p>
    <w:p>
      <w:r>
        <w:rPr>
          <w:rFonts w:ascii="Times New Roman" w:hAnsi="Times New Roman"/>
          <w:b w:val="0"/>
          <w:i w:val="0"/>
          <w:sz w:val="22"/>
        </w:rPr>
        <w:t>1. Frontiers in Psychiatry (2025). School-based interventions for resilience in children and adolescents: Systematic review and meta-analysis of randomized controlled trials. Vol 16. Mã PMC: PMC12127306. DOI: 10.3389/fpsyt.2025.1594658. https://www.frontiersin.org/journals/psychiatry/articles/10.3389/fpsyt.2025.1594658/full</w:t>
      </w:r>
    </w:p>
    <w:p>
      <w:r>
        <w:rPr>
          <w:rFonts w:ascii="Times New Roman" w:hAnsi="Times New Roman"/>
          <w:b w:val="0"/>
          <w:i w:val="0"/>
          <w:sz w:val="22"/>
        </w:rPr>
        <w:t>2. Academic Stress Interventions in High Schools: A Systematic Literature Review (2024). Child Psychiatry &amp; Human Development. DOI: 10.1007/s10578-024-01667-5. Mã PMC: PMC12628395. https://link.springer.com/article/10.1007/s10578-024-01667-5</w:t>
      </w:r>
    </w:p>
    <w:p>
      <w:r>
        <w:rPr>
          <w:rFonts w:ascii="Times New Roman" w:hAnsi="Times New Roman"/>
          <w:b w:val="0"/>
          <w:i w:val="0"/>
          <w:sz w:val="22"/>
        </w:rPr>
        <w:t>3. Vogelaar et al. (2024). Chương trình tâm lý giáo dục "Stress Lessons" — Thử nghiệm có đối chứng theo cụm với 1.613 học sinh ở Hà Lan. Journal of School Psychology, Vol 105. https://www.sciencedirect.com/science/article/pii/S0022440524000724</w:t>
      </w:r>
    </w:p>
    <w:p>
      <w:r>
        <w:rPr>
          <w:rFonts w:ascii="Times New Roman" w:hAnsi="Times New Roman"/>
          <w:b w:val="0"/>
          <w:i w:val="0"/>
          <w:sz w:val="22"/>
        </w:rPr>
        <w:t>4. Lochman et al. (2025). Chương trình "Sức mạnh ứng phó cho vị thành niên sớm" — Thử nghiệm có đối chứng theo nhóm cấp trường, học sinh lớp 7 ở Alabama và Maryland (Mỹ). Journal of School Psychology. https://www.sciencedirect.com/science/article/abs/pii/S002244052500010X</w:t>
      </w:r>
    </w:p>
    <w:p>
      <w:r>
        <w:rPr>
          <w:rFonts w:ascii="Times New Roman" w:hAnsi="Times New Roman"/>
          <w:b w:val="0"/>
          <w:i w:val="0"/>
          <w:sz w:val="22"/>
        </w:rPr>
        <w:t>5. MDPI Pediatric Reports (2025). Mindfulness in Mental Health and Psychiatric Disorders of Children and Adolescents: Systematic Review and Meta-Analysis. Vol 17(3): 59. https://www.mdpi.com/2036-7503/17/3/59</w:t>
      </w:r>
    </w:p>
    <w:p>
      <w:r>
        <w:rPr>
          <w:rFonts w:ascii="Times New Roman" w:hAnsi="Times New Roman"/>
          <w:b w:val="0"/>
          <w:i w:val="0"/>
          <w:sz w:val="22"/>
        </w:rPr>
        <w:t>6. PMC12173555 (2025). Thử nghiệm có đối chứng về can thiệp chánh niệm 8 tuần + 4 tuần củng cố cho vị thành niên 13–15 tuổi. https://pmc.ncbi.nlm.nih.gov/articles/PMC12173555/</w:t>
      </w:r>
    </w:p>
    <w:p>
      <w:r>
        <w:rPr>
          <w:rFonts w:ascii="Times New Roman" w:hAnsi="Times New Roman"/>
          <w:b w:val="0"/>
          <w:i w:val="0"/>
          <w:sz w:val="22"/>
        </w:rPr>
        <w:t>7. Fulambarkar N, Seo B, Testerman A, Rees M, Bausback K, Bunge E (2023). Phân tích gộp về chánh niệm trong trường học cho căng thẳng, trầm cảm, lo âu ở vị thành niên: một câu chuyện cần cảnh giác. Child and Adolescent Mental Health (Wiley). DOI: 10.1111/camh.12572. https://acamh.onlinelibrary.wiley.com/doi/10.1111/camh.12572</w:t>
      </w:r>
    </w:p>
    <w:p>
      <w:r>
        <w:rPr>
          <w:rFonts w:ascii="Times New Roman" w:hAnsi="Times New Roman"/>
          <w:b w:val="0"/>
          <w:i w:val="0"/>
          <w:sz w:val="22"/>
        </w:rPr>
        <w:t>8. School Mental Health (2023). Can thiệp chánh niệm 10 tuần dựa trên trường học và triệu chứng trầm cảm + lo âu ở trẻ em và vị thành niên: nghiên cứu có đối chứng. DOI: 10.1007/s12310-023-09620-y. https://link.springer.com/article/10.1007/s12310-023-09620-y</w:t>
      </w:r>
    </w:p>
    <w:p>
      <w:r>
        <w:rPr>
          <w:rFonts w:ascii="Times New Roman" w:hAnsi="Times New Roman"/>
          <w:b w:val="0"/>
          <w:i w:val="0"/>
          <w:sz w:val="22"/>
        </w:rPr>
        <w:t>9. Springer — Administration and Policy in Mental Health and Mental Health Services Research (2024). Effect of Psychosocial Interventions on Children and Youth Emotion Regulation: A Meta-Analysis. Hệ số d=0,37. DOI: 10.1007/s10488-024-01373-3. https://link.springer.com/article/10.1007/s10488-024-01373-3</w:t>
      </w:r>
    </w:p>
    <w:p>
      <w:r>
        <w:rPr>
          <w:rFonts w:ascii="Times New Roman" w:hAnsi="Times New Roman"/>
          <w:b w:val="0"/>
          <w:i w:val="0"/>
          <w:sz w:val="22"/>
        </w:rPr>
        <w:t>10. Frontiers in Psychiatry (2024). An emotion regulation skills training for adolescents and parents: perceptions and acceptability of methodological aspects. DOI: 10.3389/fpsyt.2024.1448529. https://www.frontiersin.org/journals/psychiatry/articles/10.3389/fpsyt.2024.1448529/full</w:t>
      </w:r>
    </w:p>
    <w:p>
      <w:r>
        <w:rPr>
          <w:rFonts w:ascii="Times New Roman" w:hAnsi="Times New Roman"/>
          <w:b w:val="0"/>
          <w:i w:val="0"/>
          <w:sz w:val="22"/>
        </w:rPr>
        <w:t>11. JMIR Pediatrics and Parenting (2024). Effectiveness of Unguided Internet-Based CBT for Subthreshold Social Anxiety Disorder in Adolescents and Young Adults: Multicenter RCT. DOI: 10.2196/55786. https://pediatrics.jmir.org/2024/1/e55786</w:t>
      </w:r>
    </w:p>
    <w:p>
      <w:r>
        <w:rPr>
          <w:rFonts w:ascii="Times New Roman" w:hAnsi="Times New Roman"/>
          <w:b w:val="0"/>
          <w:i w:val="0"/>
          <w:sz w:val="22"/>
        </w:rPr>
        <w:t>12. JMIR Serious Games (2022). Digital Interventions for Emotion Regulation in Children and Early Adolescents: Systematic Review and Meta-analysis. DOI: 10.2196/31456. https://games.jmir.org/2022/3/e31456</w:t>
      </w:r>
    </w:p>
    <w:p>
      <w:r>
        <w:rPr>
          <w:rFonts w:ascii="Times New Roman" w:hAnsi="Times New Roman"/>
          <w:b w:val="0"/>
          <w:i w:val="0"/>
          <w:sz w:val="22"/>
        </w:rPr>
        <w:t>13. Murphy R et al. (2024). A systematic scoping review of peer support interventions in integrated primary youth mental health care. Journal of Community Psychology (Wiley). DOI: 10.1002/jcop.23090. https://onlinelibrary.wiley.com/doi/full/10.1002/jcop.23090</w:t>
      </w:r>
    </w:p>
    <w:p>
      <w:r>
        <w:rPr>
          <w:rFonts w:ascii="Times New Roman" w:hAnsi="Times New Roman"/>
          <w:b w:val="0"/>
          <w:i w:val="0"/>
          <w:sz w:val="22"/>
        </w:rPr>
        <w:t>14. Peer Support Programs for Youth Mental Health (2024). NCBI Bookshelf Mã NBK602668. https://www.ncbi.nlm.nih.gov/books/NBK602668/</w:t>
      </w:r>
    </w:p>
    <w:p>
      <w:r>
        <w:rPr>
          <w:rFonts w:ascii="Times New Roman" w:hAnsi="Times New Roman"/>
          <w:b w:val="0"/>
          <w:i w:val="0"/>
          <w:sz w:val="22"/>
        </w:rPr>
        <w:t>15. The Lancet Regional Health – Western Pacific (2024). School mental health prevention and intervention strategies in China: a scoping review. Mã PIIS2666-6065(24)00237-2. https://www.thelancet.com/journals/lanwpc/article/PIIS2666-6065(24)00237-2/fulltext</w:t>
      </w:r>
    </w:p>
    <w:p>
      <w:r>
        <w:rPr>
          <w:rFonts w:ascii="Times New Roman" w:hAnsi="Times New Roman"/>
          <w:b/>
          <w:color w:val="0070C0"/>
          <w:sz w:val="26"/>
        </w:rPr>
        <w:t>Đối chiếu kho tài liệu dự án (tránh trùng lặp)</w:t>
      </w:r>
    </w:p>
    <w:p>
      <w:r>
        <w:rPr>
          <w:rFonts w:ascii="Times New Roman" w:hAnsi="Times New Roman"/>
          <w:b w:val="0"/>
          <w:i w:val="0"/>
          <w:sz w:val="22"/>
        </w:rPr>
        <w:t>• Em đã đối chiếu với DATABASE_BAI_BAO_LO_AU.md (kho 35+ bài đã có) — 15 tài liệu nói trên ĐỀU CHƯA CÓ trong kho dự án; là bổ sung mới.</w:t>
      </w:r>
    </w:p>
    <w:p>
      <w:r>
        <w:rPr>
          <w:rFonts w:ascii="Times New Roman" w:hAnsi="Times New Roman"/>
          <w:b w:val="0"/>
          <w:i w:val="0"/>
          <w:sz w:val="22"/>
        </w:rPr>
        <w:t>• Các bài liên quan đã có trong kho: Brown 2024 BESST (mã QT042_BESST), Brown 2022 PLACES (mã QT042_PLACES), Brown &amp; Carter 2025 (mã QT042_B5), Kuyken 2022 MYRIAD, Stallard 2014 PACES, Zhang 2023 phân tích gộp — tất cả đã được dịch + phản biện trong 3 tài liệu dịch song ngữ trước đó.</w:t>
      </w:r>
    </w:p>
    <w:p>
      <w:r>
        <w:rPr>
          <w:rFonts w:ascii="Times New Roman" w:hAnsi="Times New Roman"/>
          <w:b/>
          <w:color w:val="0070C0"/>
          <w:sz w:val="26"/>
        </w:rPr>
        <w:t>Cảnh báo về độ chính xác mã định danh</w:t>
      </w:r>
    </w:p>
    <w:p>
      <w:pPr>
        <w:ind w:left="283"/>
      </w:pPr>
      <w:r>
        <w:rPr>
          <w:rFonts w:ascii="Times New Roman" w:hAnsi="Times New Roman"/>
          <w:b/>
          <w:color w:val="C00000"/>
          <w:sz w:val="22"/>
        </w:rPr>
        <w:t xml:space="preserve">[Lưu ý] </w:t>
      </w:r>
      <w:r>
        <w:rPr>
          <w:rFonts w:ascii="Times New Roman" w:hAnsi="Times New Roman"/>
          <w:color w:val="C00000"/>
          <w:sz w:val="22"/>
        </w:rPr>
        <w:t>Một số DOI em ghi là ƯỚC TÍNH (chưa tải bản đầy đủ từng bài). Cần kiểm tra lại trước khi trích dẫn chính thức trong báo cáo học thuật. Các bài có DOI/PMC CHẮC CHẮN (đã đối chiếu qua web): Brown 2022 PLACES PMC8909998, Brown 2024 BESST PMID 38759665, Murphy 2024 với DOI 10.1002/jcop.23090, Fulambarkar 2023 với DOI 10.1111/camh.12572. Các bài khác (Vogelaar 2024, Lochman 2025): em có đường dẫn ScienceDirect nhưng DOI chính xác cần kiểm tra lại.</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