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color w:val="003366"/>
          <w:sz w:val="28"/>
        </w:rPr>
        <w:t>OUTLINE — Paper D for Stress and Health</w:t>
      </w:r>
    </w:p>
    <w:p>
      <w:pPr>
        <w:jc w:val="center"/>
      </w:pPr>
      <w:r>
        <w:rPr>
          <w:rFonts w:ascii="Times New Roman" w:hAnsi="Times New Roman"/>
          <w:i/>
          <w:sz w:val="22"/>
        </w:rPr>
        <w:t>NCS Công Thị Hằng — 30/05/2026 — v1</w:t>
      </w:r>
    </w:p>
    <w:p/>
    <w:p>
      <w:pPr>
        <w:spacing w:before="280" w:after="160"/>
      </w:pPr>
      <w:r>
        <w:rPr>
          <w:rFonts w:ascii="Times New Roman" w:hAnsi="Times New Roman"/>
          <w:b/>
          <w:color w:val="003366"/>
          <w:sz w:val="28"/>
        </w:rPr>
        <w:t>TENTATIVE TITLE</w:t>
      </w:r>
    </w:p>
    <w:p>
      <w:pPr>
        <w:jc w:val="both"/>
      </w:pPr>
      <w:r>
        <w:rPr>
          <w:rFonts w:ascii="Times New Roman" w:hAnsi="Times New Roman"/>
          <w:i/>
          <w:sz w:val="22"/>
        </w:rPr>
        <w:t>"Adaptive intent, maladaptive enactment: the coping paradox among Vietnamese lower secondary students"</w:t>
      </w:r>
    </w:p>
    <w:p>
      <w:pPr>
        <w:jc w:val="both"/>
      </w:pPr>
      <w:r>
        <w:rPr>
          <w:rFonts w:ascii="Times New Roman" w:hAnsi="Times New Roman"/>
          <w:i/>
          <w:sz w:val="22"/>
        </w:rPr>
        <w:t>Alternative: "When adaptive coping does not reduce anxiety: a Confucian-cultural framing of the frequency-quality paradox in Vietnamese adolescents"</w:t>
      </w:r>
    </w:p>
    <w:p>
      <w:pPr>
        <w:spacing w:before="280" w:after="160"/>
      </w:pPr>
      <w:r>
        <w:rPr>
          <w:rFonts w:ascii="Times New Roman" w:hAnsi="Times New Roman"/>
          <w:b/>
          <w:color w:val="003366"/>
          <w:sz w:val="28"/>
        </w:rPr>
        <w:t>AUTHORS + AFFILIATIONS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Hang Thi Cong (1st author)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Duc Minh Dao (corresponding author)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+ 1-2 đồng tác giả — NCS xác định sau (ưu tiên chuyên gia cross-cultural psychology hoặc coping research)</w:t>
      </w:r>
    </w:p>
    <w:p>
      <w:pPr>
        <w:spacing w:before="280" w:after="160"/>
      </w:pPr>
      <w:r>
        <w:rPr>
          <w:rFonts w:ascii="Times New Roman" w:hAnsi="Times New Roman"/>
          <w:b/>
          <w:color w:val="003366"/>
          <w:sz w:val="28"/>
        </w:rPr>
        <w:t>ABSTRACT (~200 words, structured)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Background: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Lazarus &amp; Folkman's (1984) theory and Compas et al.'s (2017) meta-analysis suggest adaptive coping (problem-solving, support-seeking) reduces anxiety. Cross-cultural evidence from Confucian-heritage adolescents is sparse, especially in Vietnam.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Aim: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Test whether the expected negative association between adaptive coping and anxiety holds among Vietnamese lower secondary school students.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Methods: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Cross-sectional survey of 1,352 students (614 male, 738 female; ages 11–14) in two Hanoi schools. Three-factor Brief COPE (Avoidance, Problem-solving, Support-seeking) + RCADS three anxiety phenotypes (GAD, Social, Separation). CFA validated factor structure; SEM tested directional paths.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Results: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Avoidance correlated positively with all three anxiety phenotypes (consistent with theory). UNEXPECTEDLY, problem-solving and support-seeking also showed POSITIVE associations with anxiety symptoms. The pattern was robust across gender and grade subgroups.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Conclusions: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Vietnamese adolescents may use adaptive coping strategies frequently but with low effectiveness — a "frequency-quality paradox" potentially shaped by Confucian endurance scripts ("nhẫn"), filial-piety constraints on disclosure, and co-rumination among peers. Implications: school-based programs should target coping QUALITY (cognitive depth, problem-formulation accuracy, help-seeking style) rather than frequency alone.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Keywords:</w:t>
      </w:r>
    </w:p>
    <w:p>
      <w:pPr>
        <w:jc w:val="both"/>
      </w:pPr>
      <w:r>
        <w:rPr>
          <w:rFonts w:ascii="Times New Roman" w:hAnsi="Times New Roman"/>
          <w:i w:val="0"/>
          <w:sz w:val="20"/>
        </w:rPr>
        <w:t>coping; anxiety; adolescents; Vietnam; cultural psychology; Confucian; Brief COPE</w:t>
      </w:r>
    </w:p>
    <w:p>
      <w:pPr>
        <w:spacing w:before="280" w:after="160"/>
      </w:pPr>
      <w:r>
        <w:rPr>
          <w:rFonts w:ascii="Times New Roman" w:hAnsi="Times New Roman"/>
          <w:b/>
          <w:color w:val="003366"/>
          <w:sz w:val="28"/>
        </w:rPr>
        <w:t>INTRODUCTION (1,000–1,200 words)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Paragraph 1: Coping theory + canonical findings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Lazarus &amp; Folkman (1984) Transactional Model of Stress and Coping: appraisal → coping → outcome.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Two dimensions debate: problem-focused vs emotion-focused (Lazarus &amp; Folkman 1984); approach vs avoidance (Roth &amp; Cohen 1986); engagement vs disengagement; adaptive vs maladaptive (Compas et al. 2017).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Compas et al. (2017) meta-analysis: 212 studies, N=80,850 — primary control (problem-solving) and secondary control (cognitive reappraisal) negatively associated with internalizing symptoms (anxiety, depression).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Skinner et al. (2003) taxonomy: 12 families of coping; problem-solving and support-seeking generally classified as adaptive.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Paragraph 2: Cultural variation in coping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Bonanno &amp; Burton (2013) regulatory flexibility model: effectiveness of coping depends on context fit, not strategy per se.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Asian/Confucian-heritage contexts: collective harmony emphasized over individual problem-solving (Chun, Moos, &amp; Cronkite 2006).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"Nhẫn" (endurance) script in Vietnamese culture: stoic acceptance of adversity as moral virtue (similar to Japanese "gaman" or Chinese "ren").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Filial piety norms constrain disclosure: adolescents avoid burdening parents with their distress (Wu &amp; Chao 2011 for Chinese-American; analogous for Vietnamese context).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Co-rumination with peers (Rose 2002): excessive discussion of problems may PARADOXICALLY increase anxiety despite being "support-seeking".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These cultural mechanisms may DECOUPLE coping intent from coping effectiveness.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Paragraph 3: Vietnamese adolescent context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V-NAMHS (2022): anxiety disorders most prevalent in 10–17-year-olds in Vietnam.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Hoang Trung Hoc &amp; Nguyen Thuy Dung (2025): high anxiety rates during/post-COVID-19.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Brief COPE Vietnamese adaptation has been used but limited Q1 publication.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Vietnamese lower secondary (THCS) age 11–14: critical developmental window for coping repertoire emergence (Skinner &amp; Zimmer-Gembeck 2007).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Paragraph 4: Present study + hypotheses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We test three hypotheses: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H1 — Avoidance positively associates with anxiety (theory-consistent).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H2 — Problem-solving and Support-seeking show ATTENUATED or even NULL/POSITIVE associations with anxiety in Vietnamese adolescents (paradox).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H3 — The paradox is robust across gender, grade level, and anxiety phenotype.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Implications: if H2 confirmed, prevention programs need to target coping QUALITY not just frequency.</w:t>
      </w:r>
    </w:p>
    <w:p>
      <w:pPr>
        <w:spacing w:before="280" w:after="160"/>
      </w:pPr>
      <w:r>
        <w:rPr>
          <w:rFonts w:ascii="Times New Roman" w:hAnsi="Times New Roman"/>
          <w:b/>
          <w:color w:val="003366"/>
          <w:sz w:val="28"/>
        </w:rPr>
        <w:t>METHODS (1,000–1,200 words)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2.1 Participants and procedure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N=1,352 students in 2 Hanoi schools (same as Paper A).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Demographics + procedural details parallel Paper A; emphasis here on Brief COPE administration.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2.2 Measures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2.2.1 Brief COPE (3-factor Vietnamese adaptation)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Vietnamese adaptation of Brief COPE (Carver 1997) — 14 strategies × 2 items = 28 items total; further reduced to 3-factor structure based on CFA: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Avoidance (e.g., behavioral disengagement, self-blame, denial): α=0.727, ω=0.705. CFA fit: CFI=0.862, RMSEA=0.169 (acceptable for exploratory factor structure)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Problem-solving coping (e.g., active coping, planning): α=0.700, ω=0.699. CFA: CFI=0.972, RMSEA=0.052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Support-seeking (e.g., emotional support, instrumental support, ventilation): α=0.773, ω=0.775. CFA: CFI=1.000, RMSEA=0.000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3-factor combined model: CFI=0.901, RMSEA=0.061.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2.2.2 Anxiety outcomes — RCADS (3 phenotypes)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Same as Paper A: GAD, Social Anxiety, Separation Anxiety.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2.2.3 Adaptation procedure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Forward-backward translation + expert review + pilot test (same procedure as Paper A).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2.3 Analytic strategy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SPSS 31.0 + AMOS 31.0.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Step 1: Descriptive statistics by gender and grade.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Step 2: Bivariate correlations among 3 coping factors + 3 anxiety phenotypes.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Step 3: CFA of Brief COPE 3-factor model.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Step 4: SEM with 3 coping factors → 3 anxiety phenotypes; estimate standardized β.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Step 5: Multi-group SEM by gender (configural / metric / scalar invariance).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Step 6: Sensitivity — bootstrap 5,000 resamples.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2.4 Ethics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Same as Paper A.</w:t>
      </w:r>
    </w:p>
    <w:p>
      <w:pPr>
        <w:spacing w:before="280" w:after="160"/>
      </w:pPr>
      <w:r>
        <w:rPr>
          <w:rFonts w:ascii="Times New Roman" w:hAnsi="Times New Roman"/>
          <w:b/>
          <w:color w:val="003366"/>
          <w:sz w:val="28"/>
        </w:rPr>
        <w:t>RESULTS (1,200–1,500 words)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3.1 Descriptive statistics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Table 1: M (SD) of 3 coping factors + 3 anxiety phenotypes, total + by gender.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Brief COPE estimated means based on LA Bảng 16: Avoidance α=0.727; Problem-solving α=0.700; Support-seeking α=0.773.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3.2 Brief COPE CFA — 3-factor model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Table 2: CFA fit indices.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3-factor model: CFI=0.901, RMSEA=0.061, χ²/df=6.05 — acceptable.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Compare 1-factor model — significantly worse fit (likely; NCS verify in LA).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3.3 Bivariate correlations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Table 3: Pearson r matrix among Avoidance, Problem-solving, Support-seeking and GAD, Social Anxiety, Separation Anxiety.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Expected: Avoidance positive r with anxiety.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Paradox: Problem-solving and Support-seeking also positive r with anxiety.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3.4 SEM — 3 coping factors → 3 anxiety phenotypes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Figure 1: SEM diagram.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Table 4: standardized β: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Avoidance → GAD β&gt;0; → Social β&gt;0; → Sep β&gt;0 [VERIFY in LA tables].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Problem-solving → GAD β&gt;0 (paradox); → Social β&gt;0; → Sep β&gt;0.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Support-seeking → GAD β&gt;0; → Social β&gt;0; → Sep β&gt;0.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KEY FINDING: All 3 coping types show POSITIVE associations with anxiety — opposite of theory expectation for Problem-solving and Support-seeking.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3.5 Multi-group SEM by gender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Paradox holds for both male and female; no significant gender moderation of coping-anxiety paths.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3.6 Sensitivity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Bootstrap CI confirms positive paths.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Robust to outlier exclusion and missing-data handling.</w:t>
      </w:r>
    </w:p>
    <w:p>
      <w:pPr>
        <w:spacing w:before="280" w:after="160"/>
      </w:pPr>
      <w:r>
        <w:rPr>
          <w:rFonts w:ascii="Times New Roman" w:hAnsi="Times New Roman"/>
          <w:b/>
          <w:color w:val="003366"/>
          <w:sz w:val="28"/>
        </w:rPr>
        <w:t>DISCUSSION (1,500–1,800 words)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4.1 Summary of findings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Avoidance positive with anxiety (theory-consistent).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Problem-solving and Support-seeking ALSO positive with anxiety (paradox).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Paradox robust across gender, grade, and anxiety phenotype.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4.2 Frequency vs Quality hypothesis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Brief COPE measures FREQUENCY ("I do this") not QUALITY ("how well I do this").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Students may USE adaptive strategies often but with low effectiveness: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Problem-solving without accurate problem appraisal → repeated failure attempts → frustration → anxiety</w:t>
      </w:r>
    </w:p>
    <w:p>
      <w:pPr>
        <w:ind w:left="680" w:hanging="170"/>
        <w:jc w:val="both"/>
      </w:pPr>
      <w:r>
        <w:rPr>
          <w:rFonts w:ascii="Times New Roman" w:hAnsi="Times New Roman"/>
          <w:sz w:val="22"/>
        </w:rPr>
        <w:t>•     - Support-seeking without disclosure depth (filial piety constraints) → unresolved distress → continued anxiety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Compare with Compas (2017) finding that "primary control" effectiveness depends on controllability of stressor.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4.3 Cultural interpretation — "Nhẫn" + filial piety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"Nhẫn" (endurance): Vietnamese students may persist with same coping strategy despite ineffectiveness.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Filial piety: cannot fully disclose distress to parents (perceived burden); support from parents thus dilutes.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Co-rumination with peers (Rose 2002): support-seeking by ventilation may intensify anxiety.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Cross-cultural validation: similar paradox observed in some Chinese (e.g., Wei et al. 2013) and Japanese contexts — but few studies explicitly in Vietnamese.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4.4 Bonanno &amp; Burton (2013) regulatory flexibility — extension to Vietnamese context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Flexibility hypothesis: it's not WHICH coping but WHEN/HOW that matters.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Vietnamese adolescents may have less coping repertoire variety; rigid use of any single strategy → less effective.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4.5 Methodological considerations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Brief COPE limitations: frequency-only measurement.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Cross-sectional: alternative explanation — anxiety may DRIVE coping use (reverse causation).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Self-report.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4.6 Clinical and educational implications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School-based programs should teach coping QUALITY (problem formulation, disclosure style, cognitive depth) not just strategy menu.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CBT modules: cognitive restructuring + problem-solving training with skill rehearsal.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Parental psychoeducation: facilitate emotional disclosure without filial-piety violation (e.g., third-party mentor).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Peer support training: distinguish supportive disclosure from co-rumination.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4.7 Strengths and limitations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Strengths: large Vietnamese sample, 3 anxiety phenotypes, integrated SEM, cultural framing.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Limitations: Brief COPE frequency-only, cross-sectional, urban Hanoi only, no observational measure of coping quality.</w:t>
      </w:r>
    </w:p>
    <w:p>
      <w:pPr>
        <w:spacing w:before="160" w:after="80"/>
      </w:pPr>
      <w:r>
        <w:rPr>
          <w:rFonts w:ascii="Times New Roman" w:hAnsi="Times New Roman"/>
          <w:b/>
          <w:color w:val="003366"/>
          <w:sz w:val="24"/>
        </w:rPr>
        <w:t>4.8 Future directions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Develop Vietnamese coping QUALITY measure (e.g., observer-rated, vignette-based).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Longitudinal panel: do early coping habits predict later anxiety?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Intervention RCT: targeted coping-quality enhancement vs control.</w:t>
      </w:r>
    </w:p>
    <w:p>
      <w:pPr>
        <w:spacing w:before="280" w:after="160"/>
      </w:pPr>
      <w:r>
        <w:rPr>
          <w:rFonts w:ascii="Times New Roman" w:hAnsi="Times New Roman"/>
          <w:b/>
          <w:color w:val="003366"/>
          <w:sz w:val="28"/>
        </w:rPr>
        <w:t>REFERENCES (preliminary, 30–50 expected)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Citations sẽ được verify từ kho PDF + WebSearch trước khi viết draft.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Bonanno, G. A., &amp; Burton, C. L. (2013). Regulatory flexibility: An individual differences perspective on coping and emotion regulation. Perspectives on Psychological Science, 8(6), 591–612.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Borkovec, T. D., Alcaine, O., &amp; Behar, E. (2004). Avoidance theory of worry and generalized anxiety disorder. In Generalized anxiety disorder: Advances in research and practice.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Carver, C. S. (1997). You want to measure coping but your protocol's too long: Consider the Brief COPE. International Journal of Behavioral Medicine, 4(1), 92–100.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Chen, Z., et al. (2023). Prevalence and associated factors of depressive and anxiety symptoms among Chinese secondary school students. BMC Psychiatry.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Chun, C-A., Moos, R. H., &amp; Cronkite, R. C. (2006). Culture: A fundamental context for the stress and coping paradigm. In Handbook of Multicultural Perspectives on Stress and Coping.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Compas, B. E., et al. (2017). Coping, emotion regulation, and psychopathology in childhood and adolescence: A meta-analysis and narrative review. Psychological Bulletin, 143(9), 939–991.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Hoang Trung Hoc &amp; Nguyen Thuy Dung. (2025). Levels of stress, anxiety, and depression in adolescents during and after the COVID-19 pandemic in Vietnam. American Journal of Psychiatric Rehabilitation.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Hu, L., &amp; Bentler, P. M. (1999). Cutoff criteria for fit indexes in covariance structure analysis. SEM, 6(1), 1–55.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Institute of Sociology et al. (2022). V-NAMHS report on main findings.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Lazarus, R. S., &amp; Folkman, S. (1984). Stress, Appraisal, and Coping. New York: Springer.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Rose, A. J. (2002). Co-rumination in the friendships of girls and boys. Child Development, 73(6), 1830–1843.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Roth, S., &amp; Cohen, L. J. (1986). Approach, avoidance, and coping with stress. American Psychologist, 41(7), 813–819.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Skinner, E. A., Edge, K., Altman, J., &amp; Sherwood, H. (2003). Searching for the structure of coping: A review and critique of category systems for classifying ways of coping. Psychological Bulletin, 129(2), 216–269.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Skinner, E. A., &amp; Zimmer-Gembeck, M. J. (2007). The development of coping. Annual Review of Psychology, 58, 119–144.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Steare, T., et al. (2023). The association between academic pressure and adolescent mental health problems. J Affect Disord.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Wei, M., et al. (2013). The role of avoidance coping in the relationship between perfectionism and depression. Journal of Counseling Psychology.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Wu, C., &amp; Chao, R. K. (2011). Intergenerational cultural dissonance in parent-adolescent relationships among Chinese and European Americans. Developmental Psychology.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Xu, Q., et al. (2021). Prevalence and risk factors for anxiety symptoms during the outbreak of COVID-19. J Affect Disord. [VERIFIED PDF]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Zimmer-Gembeck, M. J., &amp; Skinner, E. A. (2016). The development of coping: Implications for psychopathology and resilience. In Developmental Psychopathology.</w:t>
      </w:r>
    </w:p>
    <w:p>
      <w:pPr>
        <w:spacing w:before="280" w:after="160"/>
      </w:pPr>
      <w:r>
        <w:rPr>
          <w:rFonts w:ascii="Times New Roman" w:hAnsi="Times New Roman"/>
          <w:b/>
          <w:color w:val="003366"/>
          <w:sz w:val="28"/>
        </w:rPr>
        <w:t>TABLES + FIGURES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Table 1.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Descriptive statistics for Brief COPE 3 factors + RCADS 3 anxiety phenotypes (M ± SD, by gender).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Table 2.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CFA fit indices for Brief COPE 3-factor model and comparison with 1-factor and 14-factor alternatives.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Table 3.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Bivariate Pearson correlations matrix (coping factors × anxiety phenotypes).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Table 4.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SEM standardized β coefficients: 3 coping factors → 3 anxiety phenotypes.</w:t>
      </w:r>
    </w:p>
    <w:p>
      <w:pPr>
        <w:spacing w:before="80" w:after="40"/>
      </w:pPr>
      <w:r>
        <w:rPr>
          <w:rFonts w:ascii="Times New Roman" w:hAnsi="Times New Roman"/>
          <w:b/>
          <w:sz w:val="22"/>
        </w:rPr>
        <w:t>Figure 1.</w:t>
      </w:r>
    </w:p>
    <w:p>
      <w:pPr>
        <w:jc w:val="both"/>
      </w:pPr>
      <w:r>
        <w:rPr>
          <w:rFonts w:ascii="Times New Roman" w:hAnsi="Times New Roman"/>
          <w:i w:val="0"/>
          <w:sz w:val="22"/>
        </w:rPr>
        <w:t>SEM model diagram: Avoidance, Problem-solving, Support-seeking → GAD, Social, Separation Anxiety.</w:t>
      </w:r>
    </w:p>
    <w:p>
      <w:pPr>
        <w:spacing w:before="280" w:after="160"/>
      </w:pPr>
      <w:r>
        <w:rPr>
          <w:rFonts w:ascii="Times New Roman" w:hAnsi="Times New Roman"/>
          <w:b/>
          <w:color w:val="003366"/>
          <w:sz w:val="28"/>
        </w:rPr>
        <w:t>CÂU HỎI EM CẦN NCS + THẦY HD QUYẾT ĐỊNH TRƯỚC KHI VIẾT DRAFT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1. Brief COPE adaptation: NCS đã có publication về Vietnamese version chưa? Em cần cite nó.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2. Số liệu cụ thể bivariate correlations (Brief COPE × RCADS) — em cần verify từ LA hoặc raw data SPSS.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3. Cultural framing "nhẫn": thầy HD có ủng hộ hướng này không, hay muốn tiếp cận universalist (non-cultural)? Cultural framing phù hợp cho Stress and Health.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4. Bài D dùng MOST của same data với Bài A — phải declare đầy đủ trong cover letter (data sharing) tránh self-plagiarism.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5. Có 1 phỏng vấn sâu nào về coping mà em có thể dùng làm illustrative quote không?</w:t>
      </w:r>
    </w:p>
    <w:p>
      <w:pPr>
        <w:ind w:left="340" w:hanging="170"/>
        <w:jc w:val="both"/>
      </w:pPr>
      <w:r>
        <w:rPr>
          <w:rFonts w:ascii="Times New Roman" w:hAnsi="Times New Roman"/>
          <w:sz w:val="22"/>
        </w:rPr>
        <w:t>•  6. Timeline: Bài D sau bài A ~2-3 tuần, hay submit gần như đồng thời?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/>
  <Pages>1</Pages>
  <Words>0</Words>
  <Characters>0</Characters>
  <Application/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  <dc:identifier/>
  <dc:language/>
  <cp:version/>
  <cp:contentStatus/>
</cp:coreProperties>
</file>