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(v1,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Nguyen Minh Duc², Duc Minh Dao¹†</w:t>
      </w:r>
    </w:p>
    <w:p>
      <w:pPr>
        <w:spacing w:after="240"/>
        <w:jc w:val="center"/>
      </w:pPr>
      <w:r>
        <w:rPr>
          <w:rFonts w:ascii="Times New Roman" w:hAnsi="Times New Roman"/>
          <w:i/>
          <w:sz w:val="20"/>
        </w:rPr>
        <w:t>¹ Hanoi National University of Education, Vietnam | ² [Affiliation TBD] | * Corresponding author | † Senior author</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robust evidence of risk and protective factors operating in isolation, no Vietnamese study has tested an integrated risk-protective model across DSM-5 anxiety disorder subtypes (generalised anxiety disorder, GAD; separation anxiety disorder, SAD; social anxiety disorder, SocAD) using structural equation modelling (SEM). The present study fills this gap and probes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có bằng chứng vững chắc về tác động đơn lẻ của các yếu tố nguy cơ và bảo vệ,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kiểm tra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0.25,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0,25;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(DSM-5) distinguishes generalised anxiety disorder (GAD), separation anxiety disorder (SAD) and social anxiety disorder (SocAD) as discrete entities with differential developmental trajectories, etiological pathways and evidence-based treatments [Chorpita 2000]. Aggregating these subtypes obscures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(DSM-5) phân biệt rối loạn lo âu tổng quát (GAD), rối loạn lo âu chia ly (SAD) và rối loạn lo âu xã hội (SocAD) thành các thực thể riêng biệt với quỹ đạo phát triển, đường dẫn nguyên nhân và phác đồ điều trị dựa trên bằng chứng khác nhau. Việc gộp các phân loại này che lấp tính dị biệt lâm sàng có thể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developmental work indicating that separation-individuation tasks are predominantly childhood-onset and thus precede the post-pubertal differentiation of gender-loaded social pressures [Allen et al. 2013].</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SocAD M = 48.41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SocAD M = 48,41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[Allen et al. 2013].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Compas and colleagues [Compas et al. 2017, N = 80,850] reported that cognitive restructuring and self-esteem-building intervention components show comparable effect sizes to academic-stress-management components. The present results are consistent with this and identify self-esteem building as a high-yield single-component intervention target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Compas và cộng sự (N = 80.850) báo cáo rằng các thành phần can thiệp tái cấu trúc nhận thức và xây dựng tự trọng có độ lớn hiệu quả tương đương với các thành phần quản lý stress học tập. Kết quả hiện tại phù hợp với điều đó và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peer disclosure norms may emphasise emotional regulation ("nhẫn", endurance) over expressive sharing, attenuating the support-seeking buffer mechanism; second, the co-rumination hypothesis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chuẩn mực giãi bày với bạn bè có thể nhấn mạnh điều tiết cảm xúc ("nhẫn") hơn là chia sẻ biểu cảm, làm suy giảm cơ chế đệm tìm kiếm hỗ trợ; thứ hai, giả thuyết co-rumination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[Allen et al. 2013].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Khung CT 8-content prevention curriculum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Allen, J. P., Porter, M., McFarland, C., et al. (2013). The two faces of adolescents' success with peers: Adolescent popularity, social adaptation, and deviant behavior.</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Su, H., &amp; Kuang, L. (2024). Assessing 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