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YẾU TỐ NGUY CƠ RỐI LOẠN LO ÂU Ở HỌC SINH TRUNG HỌC CƠ SỞ</w:t>
      </w:r>
    </w:p>
    <w:p>
      <w:pPr>
        <w:jc w:val="center"/>
      </w:pPr>
      <w:r>
        <w:rPr>
          <w:rFonts w:ascii="Times New Roman" w:hAnsi="Times New Roman"/>
          <w:i/>
          <w:sz w:val="24"/>
        </w:rPr>
        <w:t>(Tổng quan tài liệu phục vụ luận án tiến sĩ — bản mở rộng)</w:t>
      </w:r>
    </w:p>
    <w:p>
      <w:pPr>
        <w:jc w:val="both"/>
      </w:pPr>
      <w:r>
        <w:rPr>
          <w:rFonts w:ascii="Times New Roman" w:hAnsi="Times New Roman"/>
          <w:b/>
          <w:sz w:val="22"/>
        </w:rPr>
        <w:t xml:space="preserve">Tóm tắt: </w:t>
      </w:r>
      <w:r>
        <w:rPr>
          <w:rFonts w:ascii="Times New Roman" w:hAnsi="Times New Roman"/>
          <w:sz w:val="22"/>
        </w:rPr>
        <w:t>Rối loạn lo âu là nhóm rối loạn sức khỏe tâm thần phổ biến nhất ở vị thành niên trên toàn cầu, với xu hướng gia tăng được ghi nhận trong thập niên qua. Tại Việt Nam, Điều tra Sức khỏe tâm thần vị thành niên quốc gia (V-NAMHS) ghi nhận tỷ lệ chẩn đoán DSM-5 đầy đủ cho nhóm lo âu ở mức 2,3% và vấn đề sức khỏe tâm thần chung khoảng 21,7%, song dữ liệu về yếu tố nguy cơ riêng cho lứa tuổi trung học cơ sở (11–15 tuổi) còn rời rạc. Chương tổng quan này hệ thống hóa các nghiên cứu công bố giai đoạn 2015–2026 theo năm nhóm yếu tố nguy cơ chính — áp lực học tập, nghiện điện thoại thông minh, bắt nạt thể chất, bắt nạt bằng lời và bắt nạt mạng, và lòng tự trọng thấp — đồng thời đề xuất một khung tích hợp ba tầng (cá nhân – gia đình – trường và xã hội) làm cơ sở cho các chương phương pháp và can thiệp tiếp theo của luận án. Mỗi nhóm yếu tố đều có bằng chứng quốc tế ở mức phân tích tổng hợp với độ tin cậy cao và đã được ghi nhận tại các nghiên cứu Việt Nam ở quy mô khu vực hoặc đa tỉnh; tuy nhiên các khoảng trống về dữ liệu dọc, học sinh dân tộc thiểu số, thang đo bắt nạt mạng tiếng Việt và mô hình nguy cơ tích hợp vẫn còn lớn. Chương đề xuất bốn hướng nghiên cứu ưu tiên cho giai đoạn 2026–2030 và đặt nền cho các chương tiếp theo của luận án về phương pháp đo lường, phân tích đường dẫn và thiết kế can thiệp.</w:t>
      </w:r>
    </w:p>
    <w:p>
      <w:pPr>
        <w:jc w:val="both"/>
      </w:pPr>
      <w:r>
        <w:rPr>
          <w:rFonts w:ascii="Times New Roman" w:hAnsi="Times New Roman"/>
          <w:b/>
          <w:sz w:val="22"/>
        </w:rPr>
        <w:t xml:space="preserve">Từ khóa: </w:t>
      </w:r>
      <w:r>
        <w:rPr>
          <w:rFonts w:ascii="Times New Roman" w:hAnsi="Times New Roman"/>
          <w:i/>
          <w:sz w:val="22"/>
        </w:rPr>
        <w:t>rối loạn lo âu, học sinh trung học cơ sở, yếu tố nguy cơ, áp lực học tập, tổng quan tài liệu, luận án tiến sĩ</w:t>
      </w:r>
    </w:p>
    <w:p>
      <w:pPr>
        <w:pStyle w:val="Heading1"/>
      </w:pPr>
      <w:r>
        <w:rPr>
          <w:rFonts w:ascii="Times New Roman" w:hAnsi="Times New Roman"/>
          <w:color w:val="000000"/>
        </w:rPr>
        <w:t>1. Mở đầu chương</w:t>
      </w:r>
    </w:p>
    <w:p>
      <w:pPr>
        <w:ind w:firstLine="567"/>
        <w:jc w:val="both"/>
      </w:pPr>
      <w:r>
        <w:rPr>
          <w:rFonts w:ascii="Times New Roman" w:hAnsi="Times New Roman"/>
          <w:b w:val="0"/>
          <w:i w:val="0"/>
          <w:sz w:val="26"/>
        </w:rPr>
        <w:t>Rối loạn lo âu là nhóm rối loạn sức khỏe tâm thần phổ biến nhất ở lứa tuổi vị thành niên trên phạm vi toàn cầu, với xu hướng gia tăng được ghi nhận trong thập niên qua. Gánh nặng do rối loạn lo âu ở nhóm tuổi này có xu hướng tập trung nhiều hơn tại các quốc gia thu nhập trung bình và thấp, nơi nguồn lực chăm sóc sức khỏe tâm thần học đường còn hạn chế. Sự gia tăng này được giải thích bởi nhiều yếu tố tương tác: thời lượng học tập và cường độ kỳ vọng tăng lên, sự lan tỏa nhanh của thiết bị di động và mạng xã hội làm thay đổi căn bản cách trẻ kết nối với bạn bè, các thay đổi cấu trúc gia đình ở khu vực đô thị, và những hệ quả tâm lý còn kéo dài của đại dịch COVID-19. Khi xét riêng lứa tuổi trung học cơ sở — 11 đến 15 tuổi — gánh nặng càng đáng chú ý vì đây là thời điểm khởi phát của nhiều rối loạn lo âu suốt đời và là giai đoạn nhạy cảm với các tác động môi trường.</w:t>
      </w:r>
    </w:p>
    <w:p>
      <w:pPr>
        <w:ind w:firstLine="567"/>
        <w:jc w:val="both"/>
      </w:pPr>
      <w:r>
        <w:rPr>
          <w:rFonts w:ascii="Times New Roman" w:hAnsi="Times New Roman"/>
          <w:b w:val="0"/>
          <w:i w:val="0"/>
          <w:sz w:val="26"/>
        </w:rPr>
        <w:t>Tại khu vực Á – đặc biệt là Đông Á – áp lực học tập, văn hóa thi cử nặng nề và kỳ vọng gia đình được xác định là những đặc trưng làm gia tăng nguy cơ lo âu ở học sinh trung học cơ sở (viết tắt là HSTHCS trong toàn chương). Nghiên cứu cắt ngang trên 63.205 học sinh trung học của Chen và cộng sự (2023) tại Trung Quốc ghi nhận tỷ lệ học sinh có triệu chứng lo âu là 13,9%. Khảo sát quy mô lớn của Xu và cộng sự (2021) trên 373.216 học sinh trung học Trung Quốc trong giai đoạn đỉnh COVID-19 ghi nhận tỷ lệ lo âu (thang Rối loạn Lo âu Tổng quát 7 mục — GAD-7 ≥ 10) ở mức 9,89%; quan trọng hơn, các chỉ số phân tầng theo khu vực và cấp học cho thấy khu vực nông thôn (11,33%) cao hơn khu vực đô thị (8,77%) và bậc trung học cơ sở (13,89%) cao hơn bậc trung học phổ thông (12,93%). Mẫu hình hai chiều này — nông thôn cao hơn đô thị nhưng riêng THCS lại cao hơn THPT — cho thấy nguy cơ lo âu ở lứa tuổi 11–15 không chỉ là chuyển tiếp tự nhiên về phát triển mà còn chịu chi phối của bối cảnh hệ thống giáo dục và điều kiện kinh tế – xã hội của địa phương.</w:t>
      </w:r>
    </w:p>
    <w:p>
      <w:pPr>
        <w:ind w:firstLine="567"/>
        <w:jc w:val="both"/>
      </w:pPr>
      <w:r>
        <w:rPr>
          <w:rFonts w:ascii="Times New Roman" w:hAnsi="Times New Roman"/>
          <w:b w:val="0"/>
          <w:i w:val="0"/>
          <w:sz w:val="26"/>
        </w:rPr>
        <w:t>Tại Việt Nam, Điều tra Sức khỏe tâm thần vị thành niên quốc gia (V-NAMHS) do Viện Xã hội học phối hợp Đại học Queensland và Đại học Johns Hopkins công bố năm 2022 trên 5.996 cặp phụ huynh – vị thành niên 10–17 tuổi cho thấy khoảng 21,7% mẫu có ít nhất một vấn đề sức khỏe tâm thần trong 12 tháng qua, trong khi tỷ lệ rối loạn theo tiêu chí chẩn đoán đầy đủ của Sổ tay Chẩn đoán và Thống kê các Rối loạn Tâm thần phiên bản thứ năm (DSM-5; Hiệp hội Tâm thần học Hoa Kỳ, 2013) cho nhóm lo âu là 2,3% (Viện Xã hội học và cộng sự, 2022). Khoảng cách giữa tỷ lệ vấn đề và tỷ lệ chẩn đoán phản ánh sự khác biệt giữa sàng lọc và chẩn đoán lâm sàng; khoảng cách này đặc biệt rộng ở các khảo sát học đường dùng thang sàng lọc tự báo cáo, nơi tỷ lệ triệu chứng có thể cao gấp nhiều lần tỷ lệ chẩn đoán. Khảo sát 8.389 học sinh khối 6–12 tại sáu tỉnh của Hoàng Trung Học và Nguyễn Thùy Dung (2025) bằng thang Đánh giá Trầm cảm – Lo âu – Stress phiên bản 21 mục (DASS-21) ghi nhận tỷ lệ triệu chứng lo âu ở mức sàng lọc là 41,5% trong giai đoạn đại dịch COVID-19 và giảm còn 25,4% sau đại dịch — minh họa cho biên độ dao động khi thang đo và bối cảnh thay đổi. Khảo sát 2.631 học sinh từ bốn trường trung học phổ thông và bốn trung tâm giáo dục thường xuyên Thành phố Hồ Chí Minh của Trúc Thanh Thái và cộng sự (2026) cũng ghi nhận tỷ lệ triệu chứng lo âu ở mức 50,3% — cho thấy sàng lọc dương tính phổ biến ở mẫu đô thị.</w:t>
      </w:r>
    </w:p>
    <w:p>
      <w:pPr>
        <w:jc w:val="center"/>
      </w:pPr>
      <w:r>
        <w:drawing>
          <wp:inline xmlns:a="http://schemas.openxmlformats.org/drawingml/2006/main" xmlns:pic="http://schemas.openxmlformats.org/drawingml/2006/picture">
            <wp:extent cx="5220000" cy="2803954"/>
            <wp:docPr id="1" name="Picture 1"/>
            <wp:cNvGraphicFramePr>
              <a:graphicFrameLocks noChangeAspect="1"/>
            </wp:cNvGraphicFramePr>
            <a:graphic>
              <a:graphicData uri="http://schemas.openxmlformats.org/drawingml/2006/picture">
                <pic:pic>
                  <pic:nvPicPr>
                    <pic:cNvPr id="0" name="chart1_VN_prevalence.png"/>
                    <pic:cNvPicPr/>
                  </pic:nvPicPr>
                  <pic:blipFill>
                    <a:blip r:embed="rId9"/>
                    <a:stretch>
                      <a:fillRect/>
                    </a:stretch>
                  </pic:blipFill>
                  <pic:spPr>
                    <a:xfrm>
                      <a:off x="0" y="0"/>
                      <a:ext cx="5220000" cy="2803954"/>
                    </a:xfrm>
                    <a:prstGeom prst="rect"/>
                  </pic:spPr>
                </pic:pic>
              </a:graphicData>
            </a:graphic>
          </wp:inline>
        </w:drawing>
      </w:r>
    </w:p>
    <w:p>
      <w:pPr>
        <w:jc w:val="center"/>
      </w:pPr>
      <w:r>
        <w:rPr>
          <w:rFonts w:ascii="Times New Roman" w:hAnsi="Times New Roman"/>
          <w:i/>
          <w:sz w:val="22"/>
        </w:rPr>
        <w:t>Biểu đồ 1. Tỷ lệ chẩn đoán và triệu chứng lo âu ở các nghiên cứu trên học sinh phổ thông Việt Nam, 2020–2026. Lưu ý các nghiên cứu sử dụng công cụ đo khác nhau (chẩn đoán DSM-5 trong V-NAMHS, các thang sàng lọc DASS-42, DASS-21 và GAD-7 ở các khảo sát khác); khoảng cách giữa tỷ lệ chẩn đoán và tỷ lệ sàng lọc là quy luật phổ biến và phản ánh sự khác biệt phương pháp luận chứ không phải mâu thuẫn thực tiễn.</w:t>
      </w:r>
    </w:p>
    <w:p>
      <w:pPr>
        <w:ind w:firstLine="567"/>
        <w:jc w:val="both"/>
      </w:pPr>
      <w:r>
        <w:rPr>
          <w:rFonts w:ascii="Times New Roman" w:hAnsi="Times New Roman"/>
          <w:b w:val="0"/>
          <w:i w:val="0"/>
          <w:sz w:val="26"/>
        </w:rPr>
        <w:t>Mặc dù bằng chứng dịch tễ tại Việt Nam đã tích lũy đáng kể, các nghiên cứu hệ thống hóa yếu tố nguy cơ riêng cho lứa tuổi 11–15 vẫn còn ít. Phần lớn công trình nội địa tập trung vào học sinh trung học phổ thông hoặc học sinh chuyên, trong khi giai đoạn THCS là thời điểm khởi phát của nhiều rối loạn lo âu suốt đời (Trần Thảo Vi và cộng sự, 2024). Các tổng quan và khung phân tích yếu tố nguy cơ trong nước cho HSTHCS thường gói gọn trong các bài báo tạp chí có giới hạn dung lượng, do đó khó có không gian để khai thác đầy đủ các tương tác giữa nhiều yếu tố, sự bất cân xứng vùng miền, và các khoảng trống thang đo. Một chương tổng quan dạng luận án — được phép dài hơn và sâu hơn — có vị thế để bổ sung các phân tích đó.</w:t>
      </w:r>
    </w:p>
    <w:p>
      <w:pPr>
        <w:ind w:firstLine="567"/>
        <w:jc w:val="both"/>
      </w:pPr>
      <w:r>
        <w:rPr>
          <w:rFonts w:ascii="Times New Roman" w:hAnsi="Times New Roman"/>
          <w:b w:val="0"/>
          <w:i w:val="0"/>
          <w:sz w:val="26"/>
        </w:rPr>
        <w:t>Chương này có ba mục tiêu cụ thể. Thứ nhất, hệ thống hóa các nghiên cứu công bố trong giai đoạn 2015–2026 về yếu tố nguy cơ rối loạn lo âu ở HSTHCS theo năm nhóm: áp lực học tập, nghiện điện thoại thông minh và mạng xã hội, bắt nạt thể chất, bắt nạt bằng lời nói cùng bắt nạt mạng, và lòng tự trọng thấp. Thứ hai, đề xuất một khung tích hợp ba tầng — cá nhân, gia đình, trường và xã hội — để liên kết các yếu tố nguy cơ với cơ chế trung gian nội tâm và đầu ra lâm sàng. Thứ ba, nhận diện các khoảng trống nghiên cứu trong nước và đề xuất các hướng ưu tiên cho giai đoạn 2026–2030, làm cơ sở cho các chương phương pháp và can thiệp tiếp theo của luận án.</w:t>
      </w:r>
    </w:p>
    <w:p>
      <w:pPr>
        <w:ind w:firstLine="567"/>
        <w:jc w:val="both"/>
      </w:pPr>
      <w:r>
        <w:rPr>
          <w:rFonts w:ascii="Times New Roman" w:hAnsi="Times New Roman"/>
          <w:b w:val="0"/>
          <w:i w:val="0"/>
          <w:sz w:val="26"/>
        </w:rPr>
        <w:t>Đặc thù của HSTHCS Việt Nam cần được tính đến khi đọc các phát hiện ở chương này. Học sinh lứa tuổi 11–15 ở Việt Nam vừa trải qua bước chuyển cấp từ tiểu học, nơi mỗi lớp có một giáo viên chủ nhiệm phụ trách phần lớn môn học, sang trung học cơ sở, nơi mỗi môn do một giáo viên đảm nhiệm. Thay đổi này kèm theo sự gia tăng số lượng môn học, hệ thống đánh giá đa môn, lịch học dày đặc và xu hướng học thêm ngoài giờ. Ở mặt phát triển, đây cũng là thời điểm dậy thì với những biến đổi mạnh về sinh học và nhận thức xã hội. Ở mặt công nghệ, tỷ lệ sở hữu điện thoại thông minh ở HSTHCS đô thị tại Việt Nam đã tiệm cận mức bão hòa, trong khi hạ tầng giáo dục số ở khu vực nông thôn còn không đồng đều. Sự đan xen của các yếu tố phát triển, hệ thống và công nghệ tạo nên một bối cảnh nguy cơ đặc thù mà các nghiên cứu quốc tế chỉ phản ánh một phần.</w:t>
      </w:r>
    </w:p>
    <w:p>
      <w:pPr>
        <w:ind w:firstLine="567"/>
        <w:jc w:val="both"/>
      </w:pPr>
      <w:r>
        <w:rPr>
          <w:rFonts w:ascii="Times New Roman" w:hAnsi="Times New Roman"/>
          <w:b w:val="0"/>
          <w:i w:val="0"/>
          <w:sz w:val="26"/>
        </w:rPr>
        <w:t>Phần còn lại của chương được tổ chức như sau. Mục 2 trình bày khung lý thuyết tích hợp ba tầng, đặt nền cho phân tích từng nhóm yếu tố. Mục 3 mô tả phương pháp tổng quan tài liệu — tiêu chí lựa chọn, quy trình trích xuất và bảng tóm lược nguồn của 21 tài liệu tham khảo. Mục 4 — phần lớn nhất của chương — phân tích chi tiết năm nhóm yếu tố nguy cơ, mỗi mục con theo cấu trúc bằng chứng quốc tế, bằng chứng tại Việt Nam, cơ chế và khoảng trống; mục 4.6 dành riêng cho các tương tác giữa các nhóm yếu tố và bảng tổng hợp bằng chứng. Mục 5 bàn luận các khoảng trống lớn, sự bất cân xứng vùng miền và giới tính, đề xuất hướng nghiên cứu ưu tiên cho giai đoạn 2026–2030, và hàm ý cho các chương tiếp theo của luận án. Mục 6 kết luận chương. Mục 7 liệt kê tài liệu tham khảo.</w:t>
      </w:r>
    </w:p>
    <w:p>
      <w:pPr>
        <w:pStyle w:val="Heading1"/>
      </w:pPr>
      <w:r>
        <w:rPr>
          <w:rFonts w:ascii="Times New Roman" w:hAnsi="Times New Roman"/>
          <w:color w:val="000000"/>
        </w:rPr>
        <w:t>2. Khung lý thuyết phân tích yếu tố nguy cơ</w:t>
      </w:r>
    </w:p>
    <w:p>
      <w:pPr>
        <w:pStyle w:val="Heading2"/>
      </w:pPr>
      <w:r>
        <w:rPr>
          <w:rFonts w:ascii="Times New Roman" w:hAnsi="Times New Roman"/>
          <w:color w:val="000000"/>
        </w:rPr>
        <w:t>2.1. Tiếp cận sinh thái xã hội ba tầng</w:t>
      </w:r>
    </w:p>
    <w:p>
      <w:pPr>
        <w:ind w:firstLine="567"/>
        <w:jc w:val="both"/>
      </w:pPr>
      <w:r>
        <w:rPr>
          <w:rFonts w:ascii="Times New Roman" w:hAnsi="Times New Roman"/>
          <w:b w:val="0"/>
          <w:i w:val="0"/>
          <w:sz w:val="26"/>
        </w:rPr>
        <w:t>Khung phân tích của chương dựa trên cách tiếp cận sinh thái xã hội — coi sức khỏe tâm thần của vị thành niên là kết quả tương tác giữa nhiều tầng môi trường lồng nhau. Ở tầng trong cùng là các đặc điểm cá nhân, gồm khí chất, năng lực điều tiết cảm xúc, lòng tự trọng và chiến lược ứng phó. Bao quanh tầng cá nhân là tầng gia đình — phong cách nuôi dạy, mức độ hỗ trợ tình cảm, hoàn cảnh kinh tế và cấu trúc hộ. Tầng ngoài cùng là trường học, nhóm bạn cùng lứa và môi trường xã hội rộng hơn — bao gồm hệ thống thi cử, chuẩn mực văn hóa, phương tiện truyền thông và mạng xã hội. Mỗi yếu tố nguy cơ trong năm nhóm của chương có thể được định vị ở một hoặc nhiều tầng đồng thời: áp lực học tập là yếu tố tầng trường nhưng được khuếch đại bởi kỳ vọng gia đình; bắt nạt là yếu tố nhóm bạn nhưng bị chi phối bởi văn hóa lớp học và năng lực giám sát của giáo viên; nghiện điện thoại nằm giữa tầng cá nhân và môi trường xã hội số.</w:t>
      </w:r>
    </w:p>
    <w:p>
      <w:pPr>
        <w:ind w:firstLine="567"/>
        <w:jc w:val="both"/>
      </w:pPr>
      <w:r>
        <w:rPr>
          <w:rFonts w:ascii="Times New Roman" w:hAnsi="Times New Roman"/>
          <w:b w:val="0"/>
          <w:i w:val="0"/>
          <w:sz w:val="26"/>
        </w:rPr>
        <w:t>Cách phân tầng này có hai hệ quả phương pháp luận quan trọng. Thứ nhất, các nghiên cứu chỉ đo một yếu tố tại một tầng có nguy cơ ước lượng quá mức hoặc dưới mức tác động thật của yếu tố đó, do bỏ sót các biến đồng phơi nhiễm ở các tầng khác. Thứ hai, can thiệp thiết kế chỉ ở một tầng — ví dụ chỉ tập huấn giáo viên về phát hiện bắt nạt — có thể không bền vững nếu không giải quyết song song các tầng khác như hỗ trợ gia đình hoặc kỹ năng tự trọng của học sinh. Khung sinh thái ba tầng vì vậy không chỉ là công cụ phân loại mà còn là khuôn khổ thiết kế nghiên cứu và thiết kế can thiệp.</w:t>
      </w:r>
    </w:p>
    <w:p>
      <w:pPr>
        <w:pStyle w:val="Heading2"/>
      </w:pPr>
      <w:r>
        <w:rPr>
          <w:rFonts w:ascii="Times New Roman" w:hAnsi="Times New Roman"/>
          <w:color w:val="000000"/>
        </w:rPr>
        <w:t>2.2. Mô hình stress – vulnerability và đối phó</w:t>
      </w:r>
    </w:p>
    <w:p>
      <w:pPr>
        <w:ind w:firstLine="567"/>
        <w:jc w:val="both"/>
      </w:pPr>
      <w:r>
        <w:rPr>
          <w:rFonts w:ascii="Times New Roman" w:hAnsi="Times New Roman"/>
          <w:b w:val="0"/>
          <w:i w:val="0"/>
          <w:sz w:val="26"/>
        </w:rPr>
        <w:t>Bổ sung cho khung sinh thái là mô hình stress – vulnerability — cho rằng triệu chứng lo âu phát sinh khi áp lực môi trường tác động lên một hệ thống cá nhân có mức độ dễ tổn thương nhất định, và mức độ tổn thương đó được điều biến bởi năng lực ứng phó. Phân tích tổng hợp của Compas và cộng sự (2017) trên hơn 80.000 trẻ em – vị thành niên cho phép đặt mô hình này trên cơ sở thực nghiệm vững: đối phó né tránh và đối phó cảm xúc tiêu cực có liên hệ thuận với lo âu, trong khi đối phó tập trung vào vấn đề có vai trò bảo vệ. Quan trọng hơn, hệ số mối liên hệ giữa chiến lược đối phó và triệu chứng lo âu ổn định xuyên các thiết kế và xuyên các lứa tuổi từ trẻ em đến vị thành niên muộn, gợi ý rằng năng lực điều tiết cảm xúc là một biến giải thích cốt lõi.</w:t>
      </w:r>
    </w:p>
    <w:p>
      <w:pPr>
        <w:ind w:firstLine="567"/>
        <w:jc w:val="both"/>
      </w:pPr>
      <w:r>
        <w:rPr>
          <w:rFonts w:ascii="Times New Roman" w:hAnsi="Times New Roman"/>
          <w:b w:val="0"/>
          <w:i w:val="0"/>
          <w:sz w:val="26"/>
        </w:rPr>
        <w:t>Khi áp dụng cho HSTHCS Việt Nam, mô hình này đặt ra ba câu hỏi nghiên cứu cụ thể. Thứ nhất, các yếu tố tầng môi trường — áp lực học tập, bắt nạt, sử dụng điện thoại — tác động trực tiếp lên lo âu ở mức độ nào, và bao nhiêu phần tác động được trung gian qua các biến nội tâm như lòng tự trọng và chiến lược đối phó. Thứ hai, các đặc điểm cá nhân — giới tính, dậy thì sớm, khí chất rụt rè — điều biến độ nhạy của học sinh trước cùng một mức áp lực ra sao. Thứ ba, can thiệp ở tầng nào — môi trường, nội tâm, hay đồng thời cả hai — tạo ra hiệu quả giảm lo âu lớn nhất và bền vững nhất.</w:t>
      </w:r>
    </w:p>
    <w:p>
      <w:pPr>
        <w:pStyle w:val="Heading2"/>
      </w:pPr>
      <w:r>
        <w:rPr>
          <w:rFonts w:ascii="Times New Roman" w:hAnsi="Times New Roman"/>
          <w:color w:val="000000"/>
        </w:rPr>
        <w:t>2.3. Khung tích hợp năm nhóm yếu tố nguy cơ cho HSTHCS Việt Nam</w:t>
      </w:r>
    </w:p>
    <w:p>
      <w:pPr>
        <w:ind w:firstLine="567"/>
        <w:jc w:val="both"/>
      </w:pPr>
      <w:r>
        <w:rPr>
          <w:rFonts w:ascii="Times New Roman" w:hAnsi="Times New Roman"/>
          <w:b w:val="0"/>
          <w:i w:val="0"/>
          <w:sz w:val="26"/>
        </w:rPr>
        <w:t>Trên cơ sở hai cách tiếp cận trên, chương đề xuất một khung tích hợp ràng buộc lại năm nhóm yếu tố nguy cơ với ba tầng môi trường và một trục biến trung gian nội tâm. Áp lực học tập được định vị ở giao điểm tầng trường và tầng gia đình; nghiện điện thoại thông minh nằm giữa tầng cá nhân và tầng xã hội số; hai dạng bắt nạt — thể chất và phi thể chất — thuộc tầng nhóm bạn nhưng được khuếch đại bởi văn hóa lớp học. Lòng tự trọng được đặt ở tầng cá nhân, đóng vai trò vừa là yếu tố nguy cơ độc lập vừa là biến trung gian quan trọng giữa các yếu tố môi trường và triệu chứng lo âu. Khung này có ba điểm khác biệt so với các khung phân loại quen thuộc: (i) tách bắt nạt thành hai mục — thể chất và phi thể chất — vì hai dạng có cơ chế và quỹ đạo phục hồi khác nhau; (ii) đưa nghiện điện thoại như một nhóm riêng thay vì gộp vào căng thẳng nói chung, vì bằng chứng quốc tế gần đây đã đủ để tách riêng; (iii) đặt lòng tự trọng vừa là một nhóm vừa là biến trung gian, mở đường cho các phân tích mô hình phương trình cấu trúc ở các chương tiếp theo.</w:t>
      </w:r>
    </w:p>
    <w:p>
      <w:pPr>
        <w:ind w:firstLine="567"/>
        <w:jc w:val="both"/>
      </w:pPr>
      <w:r>
        <w:rPr>
          <w:rFonts w:ascii="Times New Roman" w:hAnsi="Times New Roman"/>
          <w:b w:val="0"/>
          <w:i w:val="0"/>
          <w:sz w:val="26"/>
        </w:rPr>
        <w:t>Khung tích hợp này có ý nghĩa thực tiễn cho các chương sau của luận án. Ở chương phương pháp, khung gợi ý cấu trúc bộ công cụ — gồm thang Áp lực Học tập cho Vị thành niên (Educational Stress Scale for Adolescents — ESSA) cho áp lực học tập, một thang đo nghiện điện thoại được chuẩn hóa cho tiếng Việt, công cụ về bắt nạt phân biệt rõ hai dạng, thang Rosenberg cho lòng tự trọng, và thang đo lo âu chuẩn quốc tế. Ở chương can thiệp, khung gợi ý các đầu vào can thiệp có thể tác động song song ở nhiều tầng — kết hợp tập huấn giáo viên, làm việc với phụ huynh, và rèn luyện kỹ năng nội tâm cho học sinh — thay vì tập trung đơn lẻ vào một tầng.</w:t>
      </w:r>
    </w:p>
    <w:p>
      <w:pPr>
        <w:pStyle w:val="Heading2"/>
      </w:pPr>
      <w:r>
        <w:rPr>
          <w:rFonts w:ascii="Times New Roman" w:hAnsi="Times New Roman"/>
          <w:color w:val="000000"/>
        </w:rPr>
        <w:t>2.4. Phê phán và giới hạn của khung tích hợp</w:t>
      </w:r>
    </w:p>
    <w:p>
      <w:pPr>
        <w:ind w:firstLine="567"/>
        <w:jc w:val="both"/>
      </w:pPr>
      <w:r>
        <w:rPr>
          <w:rFonts w:ascii="Times New Roman" w:hAnsi="Times New Roman"/>
          <w:b w:val="0"/>
          <w:i w:val="0"/>
          <w:sz w:val="26"/>
        </w:rPr>
        <w:t>Khung tích hợp đề xuất ở trên có ba điểm cần được nêu rõ về mặt giới hạn để tránh sử dụng quá đà. Thứ nhất, các tầng trong khung sinh thái không phải là các thực thể loại trừ lẫn nhau — một yếu tố có thể được định vị ở nhiều tầng khác nhau tùy khung phân tích cụ thể, và sự phân chia này phản ánh quy ước phân tích chứ không phải bản chất bản thể. Thứ hai, năm nhóm yếu tố nguy cơ trình bày trong chương không phải là danh sách đầy đủ; các yếu tố khác — biến cố cuộc sống bất lợi, rối loạn giấc ngủ, di truyền – tính khí — được loại trừ khỏi phạm vi chương này nhưng không vì thế mà ít quan trọng hơn. Khung tích hợp là một khung công tác để tổ chức phân tích, chứ không phải một mô hình giải thích toàn diện về sinh bệnh học rối loạn lo âu.</w:t>
      </w:r>
    </w:p>
    <w:p>
      <w:pPr>
        <w:ind w:firstLine="567"/>
        <w:jc w:val="both"/>
      </w:pPr>
      <w:r>
        <w:rPr>
          <w:rFonts w:ascii="Times New Roman" w:hAnsi="Times New Roman"/>
          <w:b w:val="0"/>
          <w:i w:val="0"/>
          <w:sz w:val="26"/>
        </w:rPr>
        <w:t>Thứ ba, trục biến trung gian nội tâm trong khung — đặc biệt là lòng tự trọng và năng lực đối phó — được đặt trên cơ sở các bằng chứng phân tích tổng hợp dọc (Sowislo &amp; Orth, 2013; Compas và cộng sự, 2017) nhưng vai trò trung gian cụ thể trong bối cảnh HSTHCS Việt Nam vẫn cần được kiểm định thực nghiệm. Có khả năng vai trò trung gian này không đồng nhất giữa các nhóm con — ví dụ mạnh hơn ở học sinh có hỗ trợ gia đình ổn định và yếu hơn ở học sinh sống xa gia đình hoặc trong môi trường nội trú. Các chương phương pháp và phân tích của luận án sẽ kiểm định các đường dẫn trung gian này trên dữ liệu thực địa, từ đó hiệu chỉnh khung tích hợp nếu cần.</w:t>
      </w:r>
    </w:p>
    <w:p>
      <w:pPr>
        <w:ind w:firstLine="567"/>
        <w:jc w:val="both"/>
      </w:pPr>
      <w:r>
        <w:rPr>
          <w:rFonts w:ascii="Times New Roman" w:hAnsi="Times New Roman"/>
          <w:b w:val="0"/>
          <w:i w:val="0"/>
          <w:sz w:val="26"/>
        </w:rPr>
        <w:t>Cuối cùng, khung tích hợp đề xuất tuy có nguồn gốc lý thuyết quốc tế nhưng đã được điều chỉnh để phản ánh ba đặc thù Việt Nam: (i) sức nặng của trục kỳ vọng gia đình trong áp lực học tập, (ii) đặc thù mô thức sử dụng smartphone bao gồm vai trò của video ngắn và nhóm trò chuyện riêng, và (iii) ảnh hưởng của các chuẩn mực văn hóa về không tố cáo bạn bè trong việc làm thấp tỷ lệ báo cáo bắt nạt phi thể chất. Khung do vậy không phải là sự sao chép từ các mô hình quốc tế mà là một bản điều chỉnh có chủ đích để phục vụ nghiên cứu dịch tễ tâm thần học đường tại Việt Nam.</w:t>
      </w:r>
    </w:p>
    <w:p>
      <w:pPr>
        <w:pStyle w:val="Heading1"/>
      </w:pPr>
      <w:r>
        <w:rPr>
          <w:rFonts w:ascii="Times New Roman" w:hAnsi="Times New Roman"/>
          <w:color w:val="000000"/>
        </w:rPr>
        <w:t>3. Phương pháp tổng quan tài liệu</w:t>
      </w:r>
    </w:p>
    <w:p>
      <w:pPr>
        <w:pStyle w:val="Heading2"/>
      </w:pPr>
      <w:r>
        <w:rPr>
          <w:rFonts w:ascii="Times New Roman" w:hAnsi="Times New Roman"/>
          <w:color w:val="000000"/>
        </w:rPr>
        <w:t>3.1. Cách tiếp cận</w:t>
      </w:r>
    </w:p>
    <w:p>
      <w:pPr>
        <w:ind w:firstLine="567"/>
        <w:jc w:val="both"/>
      </w:pPr>
      <w:r>
        <w:rPr>
          <w:rFonts w:ascii="Times New Roman" w:hAnsi="Times New Roman"/>
          <w:b w:val="0"/>
          <w:i w:val="0"/>
          <w:sz w:val="26"/>
        </w:rPr>
        <w:t>Chương tuân theo cách tiếp cận tổng quan tự sự (narrative review) do tính linh hoạt trong việc tích hợp các nguồn dữ liệu định lượng và định tính có cấu trúc đa dạng. Khác với tổng quan hệ thống chỉ đặt một câu hỏi duy nhất và áp dụng quy trình tìm kiếm – sàng lọc đồng nhất, tổng quan tự sự cho phép tổ chức bằng chứng theo khung khái niệm chủ đạo, đối chiếu các thiết kế nghiên cứu khác nhau, và tích hợp cả các báo cáo điều tra dịch tễ cấp quốc gia vốn không xuất hiện đầy đủ trong các phân tích tổng hợp truyền thống. Cách tiếp cận này phù hợp với mục tiêu của chương — đặt nền khung lý thuyết và bối cảnh cho luận án — hơn là đưa ra ước lượng hiệu ứng quy tụ.</w:t>
      </w:r>
    </w:p>
    <w:p>
      <w:pPr>
        <w:pStyle w:val="Heading2"/>
      </w:pPr>
      <w:r>
        <w:rPr>
          <w:rFonts w:ascii="Times New Roman" w:hAnsi="Times New Roman"/>
          <w:color w:val="000000"/>
        </w:rPr>
        <w:t>3.2. Tiêu chí lựa chọn tài liệu</w:t>
      </w:r>
    </w:p>
    <w:p>
      <w:pPr>
        <w:ind w:firstLine="567"/>
        <w:jc w:val="both"/>
      </w:pPr>
      <w:r>
        <w:rPr>
          <w:rFonts w:ascii="Times New Roman" w:hAnsi="Times New Roman"/>
          <w:b w:val="0"/>
          <w:i w:val="0"/>
          <w:sz w:val="26"/>
        </w:rPr>
        <w:t>Tiêu chí lựa chọn tài liệu được xác định trên ba trục: phạm vi thời gian, phạm vi đối tượng và phạm vi nội dung. Về thời gian, ưu tiên các công trình xuất bản từ 2015 trở lại đây, đặc biệt từ năm 2020 nhằm phản ánh bối cảnh hậu đại dịch và sự lan tỏa nhanh của điện thoại thông minh. Một số công trình kinh điển trước 2015 được giữ lại khi chúng cung cấp khung lý thuyết hoặc thang đo nền tảng — ví dụ Sowislo và Orth (2013) cho phân tích tổng hợp các nghiên cứu dọc về lòng tự trọng và trầm cảm – lo âu.</w:t>
      </w:r>
    </w:p>
    <w:p>
      <w:pPr>
        <w:ind w:firstLine="567"/>
        <w:jc w:val="both"/>
      </w:pPr>
      <w:r>
        <w:rPr>
          <w:rFonts w:ascii="Times New Roman" w:hAnsi="Times New Roman"/>
          <w:b w:val="0"/>
          <w:i w:val="0"/>
          <w:sz w:val="26"/>
        </w:rPr>
        <w:t>Về đối tượng, chương tập trung vào học sinh trung học cơ sở 11–15 tuổi. Đối với các công bố sử dụng mẫu hỗn hợp THCS – THPT, chỉ trích xuất phần dữ liệu thuộc khối THCS hoặc thông số chung khi phân chia khối lớp không tách rời. Đối với mẫu cấp tiểu học hoặc đại học, các nghiên cứu này được loại trừ trừ khi tài liệu là phân tích tổng hợp đa nhóm tuổi có ý nghĩa khung lý thuyết. Về nội dung, tiêu chí chấp nhận là các nghiên cứu sử dụng công cụ chuẩn hóa quốc tế — chẩn đoán DSM-5 qua phỏng vấn, RCADS, DASS-21, STAI, GAD-7, ESSA — và báo cáo các thông số định lượng có thể trích dẫn được (tỷ lệ phần trăm, tỷ số chênh OR, hệ số tương quan r, kích thước hiệu ứng Cohen d hoặc Hedges g, hệ số đường β). Các bài bình luận, ý kiến chuyên gia hoặc đề cương luận án chưa bảo vệ không được đưa vào danh sách trích dẫn.</w:t>
      </w:r>
    </w:p>
    <w:p>
      <w:pPr>
        <w:pStyle w:val="Heading2"/>
      </w:pPr>
      <w:r>
        <w:rPr>
          <w:rFonts w:ascii="Times New Roman" w:hAnsi="Times New Roman"/>
          <w:color w:val="000000"/>
        </w:rPr>
        <w:t>3.3. Nguồn dữ liệu</w:t>
      </w:r>
    </w:p>
    <w:p>
      <w:pPr>
        <w:ind w:firstLine="567"/>
        <w:jc w:val="both"/>
      </w:pPr>
      <w:r>
        <w:rPr>
          <w:rFonts w:ascii="Times New Roman" w:hAnsi="Times New Roman"/>
          <w:b w:val="0"/>
          <w:i w:val="0"/>
          <w:sz w:val="26"/>
        </w:rPr>
        <w:t>Nguồn dữ liệu chính là cơ sở dữ liệu tài liệu nội bộ do nhóm nghiên cứu chuẩn bị trong quá trình thực hiện luận án, bao gồm 97 bài được phân loại theo khu vực địa lý và loại tài liệu — trong đó 24 bài Việt Nam và 73 bài quốc tế. Từ kho này, hai mươi mốt bài được sử dụng trực tiếp ở chương này; các bài còn lại được lưu trữ để phục vụ các chương tiếp theo về phương pháp và can thiệp. Các bài quốc tế được lấy từ các nền tảng cơ sở dữ liệu điện tử và bản truy cập mở của các nhà xuất bản Lancet, BMC, Springer, Frontiers, Wiley, MDPI. Các bài Việt Nam được tra cứu từ Tạp chí Y học Việt Nam, Tạp chí Y học Cộng đồng, Tạp chí Tâm lý học, Tạp chí Y học Dự phòng và các kỷ yếu hội thảo quốc gia.</w:t>
      </w:r>
    </w:p>
    <w:p>
      <w:pPr>
        <w:pStyle w:val="Heading2"/>
      </w:pPr>
      <w:r>
        <w:rPr>
          <w:rFonts w:ascii="Times New Roman" w:hAnsi="Times New Roman"/>
          <w:color w:val="000000"/>
        </w:rPr>
        <w:t>3.4. Quy trình trích xuất và thẩm định</w:t>
      </w:r>
    </w:p>
    <w:p>
      <w:pPr>
        <w:ind w:firstLine="567"/>
        <w:jc w:val="both"/>
      </w:pPr>
      <w:r>
        <w:rPr>
          <w:rFonts w:ascii="Times New Roman" w:hAnsi="Times New Roman"/>
          <w:b w:val="0"/>
          <w:i w:val="0"/>
          <w:sz w:val="26"/>
        </w:rPr>
        <w:t>Đối với từng yếu tố nguy cơ, nhóm nghiên cứu thực hiện ba bước trích xuất: rà soát phân tích tổng hợp và tổng quan hệ thống hiện hành để xác định độ lớn hiệu ứng quy tụ; chọn lọc các nghiên cứu mẫu lớn cấp quốc gia hoặc đa tỉnh ở khu vực Á; tích hợp các bài Việt Nam có công cụ đo chuẩn hóa. Sau khi tổng hợp sơ bộ, mỗi bài được mở trực tiếp trên trang nguồn — PubMed, PubMed Central, trang nhà xuất bản, hoặc kho truy cập mở — để xác minh tên tác giả đầy đủ, năm, tạp chí, tập và số bài hoặc số trang, và mã DOI. Việc xác minh trực tiếp này nhằm tránh tình trạng trích dẫn theo trí nhớ và bảo đảm liêm chính trong các bước phân tích tiếp theo.</w:t>
      </w:r>
    </w:p>
    <w:p>
      <w:pPr>
        <w:ind w:firstLine="567"/>
        <w:jc w:val="both"/>
      </w:pPr>
      <w:r>
        <w:rPr>
          <w:rFonts w:ascii="Times New Roman" w:hAnsi="Times New Roman"/>
          <w:b w:val="0"/>
          <w:i w:val="0"/>
          <w:sz w:val="26"/>
        </w:rPr>
        <w:t>Nhóm nghiên cứu đã sử dụng công cụ trợ lý dựa trên mô hình ngôn ngữ lớn (Large Language Model) nhằm hỗ trợ tìm kiếm, sắp xếp và đối chiếu tài liệu tham khảo theo định dạng APA phiên bản thứ bảy. Toàn bộ phần phân tích, diễn giải, lập luận khoa học và kết luận do nhóm nghiên cứu tự thực hiện và chịu trách nhiệm. Mọi số liệu trích dẫn trong chương đều được đối chiếu trực tiếp với bài gốc trước khi đưa vào bản thảo, theo khuyến nghị về liêm chính khoa học khi sử dụng trí tuệ nhân tạo của các cơ quan quản lý quốc tế và trong nước.</w:t>
      </w:r>
    </w:p>
    <w:p>
      <w:pPr>
        <w:pStyle w:val="Heading2"/>
      </w:pPr>
      <w:r>
        <w:rPr>
          <w:rFonts w:ascii="Times New Roman" w:hAnsi="Times New Roman"/>
          <w:color w:val="000000"/>
        </w:rPr>
        <w:t>3.5. Tổng hợp định tính và định lượng</w:t>
      </w:r>
    </w:p>
    <w:p>
      <w:pPr>
        <w:ind w:firstLine="567"/>
        <w:jc w:val="both"/>
      </w:pPr>
      <w:r>
        <w:rPr>
          <w:rFonts w:ascii="Times New Roman" w:hAnsi="Times New Roman"/>
          <w:b w:val="0"/>
          <w:i w:val="0"/>
          <w:sz w:val="26"/>
        </w:rPr>
        <w:t>Để tổng hợp kết quả xuyên các nghiên cứu có thiết kế và công cụ khác nhau, chương dùng hai loại tổng hợp song song. Tổng hợp định lượng trình bày các tham số ước lượng — tỷ lệ, tỷ số chênh OR, hệ số tương quan, kích thước hiệu ứng — kèm khoảng tin cậy khi có sẵn, và đánh giá sự nhất quán hoặc khác biệt giữa các nguồn. Tổng hợp định tính tập trung vào cơ chế và bối cảnh: phân tích lý do tại sao một yếu tố tác động, các đường dẫn trung gian khả dĩ, và các điều kiện văn hóa – xã hội đặc thù tại Việt Nam có thể làm thay đổi tính khái quát của bằng chứng quốc tế.</w:t>
      </w:r>
    </w:p>
    <w:p>
      <w:pPr>
        <w:pStyle w:val="Heading2"/>
      </w:pPr>
      <w:r>
        <w:rPr>
          <w:rFonts w:ascii="Times New Roman" w:hAnsi="Times New Roman"/>
          <w:color w:val="000000"/>
        </w:rPr>
        <w:t>3.6. Hạn chế của thiết kế tổng quan tự sự</w:t>
      </w:r>
    </w:p>
    <w:p>
      <w:pPr>
        <w:ind w:firstLine="567"/>
        <w:jc w:val="both"/>
      </w:pPr>
      <w:r>
        <w:rPr>
          <w:rFonts w:ascii="Times New Roman" w:hAnsi="Times New Roman"/>
          <w:b w:val="0"/>
          <w:i w:val="0"/>
          <w:sz w:val="26"/>
        </w:rPr>
        <w:t>Cần thừa nhận ba hạn chế phương pháp luận của tổng quan tự sự. Thứ nhất, chiến lược tìm kiếm tài liệu không theo cú pháp Boolean tiêu chuẩn nên có nguy cơ bỏ sót các bài lệch khỏi kho nội bộ. Thứ hai, không có quy trình đánh giá rủi ro thiên lệch chính thức (như công cụ Cochrane Risk of Bias hay AMSTAR-2), nên các kết luận về sức mạnh chứng cứ mang tính diễn giải hơn là định lượng. Thứ ba, không thực hiện phân tích gộp ước lượng quy tụ nên các thông số định lượng ở các nghiên cứu khác nhau được trình bày riêng lẻ và không thể tổng hợp thành một chỉ số duy nhất. Tuy nhiên, các hạn chế này có thể chấp nhận được khi cân nhắc với mục tiêu xây dựng khung lý thuyết và bối cảnh cho các chương sau của luận án, nơi các đánh giá có cấu trúc chặt hơn sẽ được áp dụng cho từng nhóm yếu tố cụ thể.</w:t>
      </w:r>
    </w:p>
    <w:p>
      <w:pPr>
        <w:ind w:firstLine="567"/>
        <w:jc w:val="both"/>
      </w:pPr>
      <w:r>
        <w:rPr>
          <w:rFonts w:ascii="Times New Roman" w:hAnsi="Times New Roman"/>
          <w:b w:val="0"/>
          <w:i w:val="0"/>
          <w:sz w:val="26"/>
        </w:rPr>
        <w:t>Trên nền tảng phương pháp tổng quan và phạm vi tài liệu vừa trình bày, Bảng 1 dưới đây tóm lược 21 tài liệu tham khảo của chương theo nhóm yếu tố, thiết kế và mẫu — phục vụ đối chiếu nhanh khi đọc các phân tích chi tiết ở mục kết quả nghiên cứu.</w:t>
      </w:r>
    </w:p>
    <w:p>
      <w:pPr>
        <w:jc w:val="center"/>
      </w:pPr>
      <w:r>
        <w:rPr>
          <w:rFonts w:ascii="Times New Roman" w:hAnsi="Times New Roman"/>
          <w:b/>
          <w:i/>
          <w:sz w:val="22"/>
        </w:rPr>
        <w:t>Bảng 1. Tóm lược 21 tài liệu tham khảo của chương theo nhóm yếu tố, thiết kế và mẫu.</w:t>
      </w:r>
    </w:p>
    <w:tbl>
      <w:tblPr>
        <w:tblStyle w:val="TableGrid"/>
        <w:tblW w:type="auto" w:w="0"/>
        <w:jc w:val="center"/>
        <w:tblLook w:firstColumn="1" w:firstRow="1" w:lastColumn="0" w:lastRow="0" w:noHBand="0" w:noVBand="1" w:val="04A0"/>
        <w:tblLayout w:type="fixed"/>
      </w:tblPr>
      <w:tblGrid>
        <w:gridCol w:w="567"/>
        <w:gridCol w:w="1587"/>
        <w:gridCol w:w="1360"/>
        <w:gridCol w:w="1360"/>
        <w:gridCol w:w="1417"/>
        <w:gridCol w:w="2494"/>
      </w:tblGrid>
      <w:tr>
        <w:tc>
          <w:tcPr>
            <w:tcW w:w="567" w:type="dxa"/>
            <w:shd w:fill="D9E2F3" w:val="clear"/>
          </w:tcPr>
          <w:p>
            <w:pPr>
              <w:jc w:val="center"/>
            </w:pPr>
            <w:r>
              <w:rPr>
                <w:rFonts w:ascii="Times New Roman" w:hAnsi="Times New Roman"/>
                <w:b/>
                <w:sz w:val="18"/>
              </w:rPr>
              <w:t>STT</w:t>
            </w:r>
          </w:p>
        </w:tc>
        <w:tc>
          <w:tcPr>
            <w:tcW w:w="1587" w:type="dxa"/>
            <w:shd w:fill="D9E2F3" w:val="clear"/>
          </w:tcPr>
          <w:p>
            <w:pPr>
              <w:jc w:val="center"/>
            </w:pPr>
            <w:r>
              <w:rPr>
                <w:rFonts w:ascii="Times New Roman" w:hAnsi="Times New Roman"/>
                <w:b/>
                <w:sz w:val="18"/>
              </w:rPr>
              <w:t>Tác giả (năm)</w:t>
            </w:r>
          </w:p>
        </w:tc>
        <w:tc>
          <w:tcPr>
            <w:tcW w:w="1360" w:type="dxa"/>
            <w:shd w:fill="D9E2F3" w:val="clear"/>
          </w:tcPr>
          <w:p>
            <w:pPr>
              <w:jc w:val="center"/>
            </w:pPr>
            <w:r>
              <w:rPr>
                <w:rFonts w:ascii="Times New Roman" w:hAnsi="Times New Roman"/>
                <w:b/>
                <w:sz w:val="18"/>
              </w:rPr>
              <w:t>Nhóm YTNC</w:t>
            </w:r>
          </w:p>
        </w:tc>
        <w:tc>
          <w:tcPr>
            <w:tcW w:w="1360" w:type="dxa"/>
            <w:shd w:fill="D9E2F3" w:val="clear"/>
          </w:tcPr>
          <w:p>
            <w:pPr>
              <w:jc w:val="center"/>
            </w:pPr>
            <w:r>
              <w:rPr>
                <w:rFonts w:ascii="Times New Roman" w:hAnsi="Times New Roman"/>
                <w:b/>
                <w:sz w:val="18"/>
              </w:rPr>
              <w:t>Thiết kế</w:t>
            </w:r>
          </w:p>
        </w:tc>
        <w:tc>
          <w:tcPr>
            <w:tcW w:w="1417" w:type="dxa"/>
            <w:shd w:fill="D9E2F3" w:val="clear"/>
          </w:tcPr>
          <w:p>
            <w:pPr>
              <w:jc w:val="center"/>
            </w:pPr>
            <w:r>
              <w:rPr>
                <w:rFonts w:ascii="Times New Roman" w:hAnsi="Times New Roman"/>
                <w:b/>
                <w:sz w:val="18"/>
              </w:rPr>
              <w:t>Mẫu</w:t>
            </w:r>
          </w:p>
        </w:tc>
        <w:tc>
          <w:tcPr>
            <w:tcW w:w="2494" w:type="dxa"/>
            <w:shd w:fill="D9E2F3" w:val="clear"/>
          </w:tcPr>
          <w:p>
            <w:pPr>
              <w:jc w:val="center"/>
            </w:pPr>
            <w:r>
              <w:rPr>
                <w:rFonts w:ascii="Times New Roman" w:hAnsi="Times New Roman"/>
                <w:b/>
                <w:sz w:val="18"/>
              </w:rPr>
              <w:t>Kết quả chính</w:t>
            </w:r>
          </w:p>
        </w:tc>
      </w:tr>
      <w:tr>
        <w:tc>
          <w:tcPr>
            <w:tcW w:w="567" w:type="dxa"/>
          </w:tcPr>
          <w:p>
            <w:pPr>
              <w:jc w:val="both"/>
            </w:pPr>
            <w:r>
              <w:rPr>
                <w:rFonts w:ascii="Times New Roman" w:hAnsi="Times New Roman"/>
                <w:sz w:val="18"/>
              </w:rPr>
              <w:t>1</w:t>
            </w:r>
          </w:p>
        </w:tc>
        <w:tc>
          <w:tcPr>
            <w:tcW w:w="1587" w:type="dxa"/>
          </w:tcPr>
          <w:p>
            <w:pPr>
              <w:jc w:val="both"/>
            </w:pPr>
            <w:r>
              <w:rPr>
                <w:rFonts w:ascii="Times New Roman" w:hAnsi="Times New Roman"/>
                <w:sz w:val="18"/>
              </w:rPr>
              <w:t>Pascoe &amp; cs (2020)</w:t>
            </w:r>
          </w:p>
        </w:tc>
        <w:tc>
          <w:tcPr>
            <w:tcW w:w="1360" w:type="dxa"/>
          </w:tcPr>
          <w:p>
            <w:pPr>
              <w:jc w:val="both"/>
            </w:pPr>
            <w:r>
              <w:rPr>
                <w:rFonts w:ascii="Times New Roman" w:hAnsi="Times New Roman"/>
                <w:sz w:val="18"/>
              </w:rPr>
              <w:t>Áp lực học tập</w:t>
            </w:r>
          </w:p>
        </w:tc>
        <w:tc>
          <w:tcPr>
            <w:tcW w:w="1360" w:type="dxa"/>
          </w:tcPr>
          <w:p>
            <w:pPr>
              <w:jc w:val="both"/>
            </w:pPr>
            <w:r>
              <w:rPr>
                <w:rFonts w:ascii="Times New Roman" w:hAnsi="Times New Roman"/>
                <w:sz w:val="18"/>
              </w:rPr>
              <w:t>Tổng quan tự sự</w:t>
            </w:r>
          </w:p>
        </w:tc>
        <w:tc>
          <w:tcPr>
            <w:tcW w:w="1417" w:type="dxa"/>
          </w:tcPr>
          <w:p>
            <w:pPr>
              <w:jc w:val="both"/>
            </w:pPr>
            <w:r>
              <w:rPr>
                <w:rFonts w:ascii="Times New Roman" w:hAnsi="Times New Roman"/>
                <w:sz w:val="18"/>
              </w:rPr>
              <w:t>HS THPT + ĐH</w:t>
            </w:r>
          </w:p>
        </w:tc>
        <w:tc>
          <w:tcPr>
            <w:tcW w:w="2494" w:type="dxa"/>
          </w:tcPr>
          <w:p>
            <w:pPr>
              <w:jc w:val="both"/>
            </w:pPr>
            <w:r>
              <w:rPr>
                <w:rFonts w:ascii="Times New Roman" w:hAnsi="Times New Roman"/>
                <w:sz w:val="18"/>
              </w:rPr>
              <w:t>Stress học đường → lo âu/trầm cảm/mất ngủ</w:t>
            </w:r>
          </w:p>
        </w:tc>
      </w:tr>
      <w:tr>
        <w:tc>
          <w:tcPr>
            <w:tcW w:w="567" w:type="dxa"/>
          </w:tcPr>
          <w:p>
            <w:pPr>
              <w:jc w:val="both"/>
            </w:pPr>
            <w:r>
              <w:rPr>
                <w:rFonts w:ascii="Times New Roman" w:hAnsi="Times New Roman"/>
                <w:sz w:val="18"/>
              </w:rPr>
              <w:t>2</w:t>
            </w:r>
          </w:p>
        </w:tc>
        <w:tc>
          <w:tcPr>
            <w:tcW w:w="1587" w:type="dxa"/>
          </w:tcPr>
          <w:p>
            <w:pPr>
              <w:jc w:val="both"/>
            </w:pPr>
            <w:r>
              <w:rPr>
                <w:rFonts w:ascii="Times New Roman" w:hAnsi="Times New Roman"/>
                <w:sz w:val="18"/>
              </w:rPr>
              <w:t>Jagiello &amp; cs (2025)</w:t>
            </w:r>
          </w:p>
        </w:tc>
        <w:tc>
          <w:tcPr>
            <w:tcW w:w="1360" w:type="dxa"/>
          </w:tcPr>
          <w:p>
            <w:pPr>
              <w:jc w:val="both"/>
            </w:pPr>
            <w:r>
              <w:rPr>
                <w:rFonts w:ascii="Times New Roman" w:hAnsi="Times New Roman"/>
                <w:sz w:val="18"/>
              </w:rPr>
              <w:t>Áp lực học tập</w:t>
            </w:r>
          </w:p>
        </w:tc>
        <w:tc>
          <w:tcPr>
            <w:tcW w:w="1360" w:type="dxa"/>
          </w:tcPr>
          <w:p>
            <w:pPr>
              <w:jc w:val="both"/>
            </w:pPr>
            <w:r>
              <w:rPr>
                <w:rFonts w:ascii="Times New Roman" w:hAnsi="Times New Roman"/>
                <w:sz w:val="18"/>
              </w:rPr>
              <w:t>Tổng quan hệ thống</w:t>
            </w:r>
          </w:p>
        </w:tc>
        <w:tc>
          <w:tcPr>
            <w:tcW w:w="1417" w:type="dxa"/>
          </w:tcPr>
          <w:p>
            <w:pPr>
              <w:jc w:val="both"/>
            </w:pPr>
            <w:r>
              <w:rPr>
                <w:rFonts w:ascii="Times New Roman" w:hAnsi="Times New Roman"/>
                <w:sz w:val="18"/>
              </w:rPr>
              <w:t>31 NC can thiệp tại 13 nước</w:t>
            </w:r>
          </w:p>
        </w:tc>
        <w:tc>
          <w:tcPr>
            <w:tcW w:w="2494" w:type="dxa"/>
          </w:tcPr>
          <w:p>
            <w:pPr>
              <w:jc w:val="both"/>
            </w:pPr>
            <w:r>
              <w:rPr>
                <w:rFonts w:ascii="Times New Roman" w:hAnsi="Times New Roman"/>
                <w:sz w:val="18"/>
              </w:rPr>
              <w:t>CBT trong trường giảm áp lực có hiệu quả</w:t>
            </w:r>
          </w:p>
        </w:tc>
      </w:tr>
      <w:tr>
        <w:tc>
          <w:tcPr>
            <w:tcW w:w="567" w:type="dxa"/>
          </w:tcPr>
          <w:p>
            <w:pPr>
              <w:jc w:val="both"/>
            </w:pPr>
            <w:r>
              <w:rPr>
                <w:rFonts w:ascii="Times New Roman" w:hAnsi="Times New Roman"/>
                <w:sz w:val="18"/>
              </w:rPr>
              <w:t>3</w:t>
            </w:r>
          </w:p>
        </w:tc>
        <w:tc>
          <w:tcPr>
            <w:tcW w:w="1587" w:type="dxa"/>
          </w:tcPr>
          <w:p>
            <w:pPr>
              <w:jc w:val="both"/>
            </w:pPr>
            <w:r>
              <w:rPr>
                <w:rFonts w:ascii="Times New Roman" w:hAnsi="Times New Roman"/>
                <w:sz w:val="18"/>
              </w:rPr>
              <w:t>Đinh Thị Hồng Vân &amp; cs (2021)</w:t>
            </w:r>
          </w:p>
        </w:tc>
        <w:tc>
          <w:tcPr>
            <w:tcW w:w="1360" w:type="dxa"/>
          </w:tcPr>
          <w:p>
            <w:pPr>
              <w:jc w:val="both"/>
            </w:pPr>
            <w:r>
              <w:rPr>
                <w:rFonts w:ascii="Times New Roman" w:hAnsi="Times New Roman"/>
                <w:sz w:val="18"/>
              </w:rPr>
              <w:t>Áp lực học tập</w:t>
            </w:r>
          </w:p>
        </w:tc>
        <w:tc>
          <w:tcPr>
            <w:tcW w:w="1360" w:type="dxa"/>
          </w:tcPr>
          <w:p>
            <w:pPr>
              <w:jc w:val="both"/>
            </w:pPr>
            <w:r>
              <w:rPr>
                <w:rFonts w:ascii="Times New Roman" w:hAnsi="Times New Roman"/>
                <w:sz w:val="18"/>
              </w:rPr>
              <w:t>Cắt ngang</w:t>
            </w:r>
          </w:p>
        </w:tc>
        <w:tc>
          <w:tcPr>
            <w:tcW w:w="1417" w:type="dxa"/>
          </w:tcPr>
          <w:p>
            <w:pPr>
              <w:jc w:val="both"/>
            </w:pPr>
            <w:r>
              <w:rPr>
                <w:rFonts w:ascii="Times New Roman" w:hAnsi="Times New Roman"/>
                <w:sz w:val="18"/>
              </w:rPr>
              <w:t>749 HS THCS HN+HCM</w:t>
            </w:r>
          </w:p>
        </w:tc>
        <w:tc>
          <w:tcPr>
            <w:tcW w:w="2494" w:type="dxa"/>
          </w:tcPr>
          <w:p>
            <w:pPr>
              <w:jc w:val="both"/>
            </w:pPr>
            <w:r>
              <w:rPr>
                <w:rFonts w:ascii="Times New Roman" w:hAnsi="Times New Roman"/>
                <w:sz w:val="18"/>
              </w:rPr>
              <w:t>Điểm số/thi cử là nguồn lo âu của 91,1% HS</w:t>
            </w:r>
          </w:p>
        </w:tc>
      </w:tr>
      <w:tr>
        <w:tc>
          <w:tcPr>
            <w:tcW w:w="567" w:type="dxa"/>
          </w:tcPr>
          <w:p>
            <w:pPr>
              <w:jc w:val="both"/>
            </w:pPr>
            <w:r>
              <w:rPr>
                <w:rFonts w:ascii="Times New Roman" w:hAnsi="Times New Roman"/>
                <w:sz w:val="18"/>
              </w:rPr>
              <w:t>4</w:t>
            </w:r>
          </w:p>
        </w:tc>
        <w:tc>
          <w:tcPr>
            <w:tcW w:w="1587" w:type="dxa"/>
          </w:tcPr>
          <w:p>
            <w:pPr>
              <w:jc w:val="both"/>
            </w:pPr>
            <w:r>
              <w:rPr>
                <w:rFonts w:ascii="Times New Roman" w:hAnsi="Times New Roman"/>
                <w:sz w:val="18"/>
              </w:rPr>
              <w:t>Trần Thị Mỵ Lương (2020)</w:t>
            </w:r>
          </w:p>
        </w:tc>
        <w:tc>
          <w:tcPr>
            <w:tcW w:w="1360" w:type="dxa"/>
          </w:tcPr>
          <w:p>
            <w:pPr>
              <w:jc w:val="both"/>
            </w:pPr>
            <w:r>
              <w:rPr>
                <w:rFonts w:ascii="Times New Roman" w:hAnsi="Times New Roman"/>
                <w:sz w:val="18"/>
              </w:rPr>
              <w:t>Áp lực học tập</w:t>
            </w:r>
          </w:p>
        </w:tc>
        <w:tc>
          <w:tcPr>
            <w:tcW w:w="1360" w:type="dxa"/>
          </w:tcPr>
          <w:p>
            <w:pPr>
              <w:jc w:val="both"/>
            </w:pPr>
            <w:r>
              <w:rPr>
                <w:rFonts w:ascii="Times New Roman" w:hAnsi="Times New Roman"/>
                <w:sz w:val="18"/>
              </w:rPr>
              <w:t>Cắt ngang, DASS-42</w:t>
            </w:r>
          </w:p>
        </w:tc>
        <w:tc>
          <w:tcPr>
            <w:tcW w:w="1417" w:type="dxa"/>
          </w:tcPr>
          <w:p>
            <w:pPr>
              <w:jc w:val="both"/>
            </w:pPr>
            <w:r>
              <w:rPr>
                <w:rFonts w:ascii="Times New Roman" w:hAnsi="Times New Roman"/>
                <w:sz w:val="18"/>
              </w:rPr>
              <w:t>540 HS THPT chuyên</w:t>
            </w:r>
          </w:p>
        </w:tc>
        <w:tc>
          <w:tcPr>
            <w:tcW w:w="2494" w:type="dxa"/>
          </w:tcPr>
          <w:p>
            <w:pPr>
              <w:jc w:val="both"/>
            </w:pPr>
            <w:r>
              <w:rPr>
                <w:rFonts w:ascii="Times New Roman" w:hAnsi="Times New Roman"/>
                <w:sz w:val="18"/>
              </w:rPr>
              <w:t>Tỷ lệ lo âu 14,2%; trong 77 ca lo âu, khối 11 chiếm 48,1%</w:t>
            </w:r>
          </w:p>
        </w:tc>
      </w:tr>
      <w:tr>
        <w:tc>
          <w:tcPr>
            <w:tcW w:w="567" w:type="dxa"/>
          </w:tcPr>
          <w:p>
            <w:pPr>
              <w:jc w:val="both"/>
            </w:pPr>
            <w:r>
              <w:rPr>
                <w:rFonts w:ascii="Times New Roman" w:hAnsi="Times New Roman"/>
                <w:sz w:val="18"/>
              </w:rPr>
              <w:t>5</w:t>
            </w:r>
          </w:p>
        </w:tc>
        <w:tc>
          <w:tcPr>
            <w:tcW w:w="1587" w:type="dxa"/>
          </w:tcPr>
          <w:p>
            <w:pPr>
              <w:jc w:val="both"/>
            </w:pPr>
            <w:r>
              <w:rPr>
                <w:rFonts w:ascii="Times New Roman" w:hAnsi="Times New Roman"/>
                <w:sz w:val="18"/>
              </w:rPr>
              <w:t>Phạm Thị Thu Hoa &amp; cs (2024)</w:t>
            </w:r>
          </w:p>
        </w:tc>
        <w:tc>
          <w:tcPr>
            <w:tcW w:w="1360" w:type="dxa"/>
          </w:tcPr>
          <w:p>
            <w:pPr>
              <w:jc w:val="both"/>
            </w:pPr>
            <w:r>
              <w:rPr>
                <w:rFonts w:ascii="Times New Roman" w:hAnsi="Times New Roman"/>
                <w:sz w:val="18"/>
              </w:rPr>
              <w:t>Áp lực học tập</w:t>
            </w:r>
          </w:p>
        </w:tc>
        <w:tc>
          <w:tcPr>
            <w:tcW w:w="1360" w:type="dxa"/>
          </w:tcPr>
          <w:p>
            <w:pPr>
              <w:jc w:val="both"/>
            </w:pPr>
            <w:r>
              <w:rPr>
                <w:rFonts w:ascii="Times New Roman" w:hAnsi="Times New Roman"/>
                <w:sz w:val="18"/>
              </w:rPr>
              <w:t>Cắt ngang + định tính, GAD-7</w:t>
            </w:r>
          </w:p>
        </w:tc>
        <w:tc>
          <w:tcPr>
            <w:tcW w:w="1417" w:type="dxa"/>
          </w:tcPr>
          <w:p>
            <w:pPr>
              <w:jc w:val="both"/>
            </w:pPr>
            <w:r>
              <w:rPr>
                <w:rFonts w:ascii="Times New Roman" w:hAnsi="Times New Roman"/>
                <w:sz w:val="18"/>
              </w:rPr>
              <w:t>3.910 HS THPT Hà Nội</w:t>
            </w:r>
          </w:p>
        </w:tc>
        <w:tc>
          <w:tcPr>
            <w:tcW w:w="2494" w:type="dxa"/>
          </w:tcPr>
          <w:p>
            <w:pPr>
              <w:jc w:val="both"/>
            </w:pPr>
            <w:r>
              <w:rPr>
                <w:rFonts w:ascii="Times New Roman" w:hAnsi="Times New Roman"/>
                <w:sz w:val="18"/>
              </w:rPr>
              <w:t>Tỷ lệ lo âu 40,6%; học tập là yếu tố hàng đầu</w:t>
            </w:r>
          </w:p>
        </w:tc>
      </w:tr>
      <w:tr>
        <w:tc>
          <w:tcPr>
            <w:tcW w:w="567" w:type="dxa"/>
          </w:tcPr>
          <w:p>
            <w:pPr>
              <w:jc w:val="both"/>
            </w:pPr>
            <w:r>
              <w:rPr>
                <w:rFonts w:ascii="Times New Roman" w:hAnsi="Times New Roman"/>
                <w:sz w:val="18"/>
              </w:rPr>
              <w:t>6</w:t>
            </w:r>
          </w:p>
        </w:tc>
        <w:tc>
          <w:tcPr>
            <w:tcW w:w="1587" w:type="dxa"/>
          </w:tcPr>
          <w:p>
            <w:pPr>
              <w:jc w:val="both"/>
            </w:pPr>
            <w:r>
              <w:rPr>
                <w:rFonts w:ascii="Times New Roman" w:hAnsi="Times New Roman"/>
                <w:sz w:val="18"/>
              </w:rPr>
              <w:t>Trần Hồ Vĩnh Lộc &amp; cs (2024)</w:t>
            </w:r>
          </w:p>
        </w:tc>
        <w:tc>
          <w:tcPr>
            <w:tcW w:w="1360" w:type="dxa"/>
          </w:tcPr>
          <w:p>
            <w:pPr>
              <w:jc w:val="both"/>
            </w:pPr>
            <w:r>
              <w:rPr>
                <w:rFonts w:ascii="Times New Roman" w:hAnsi="Times New Roman"/>
                <w:sz w:val="18"/>
              </w:rPr>
              <w:t>Áp lực học tập</w:t>
            </w:r>
          </w:p>
        </w:tc>
        <w:tc>
          <w:tcPr>
            <w:tcW w:w="1360" w:type="dxa"/>
          </w:tcPr>
          <w:p>
            <w:pPr>
              <w:jc w:val="both"/>
            </w:pPr>
            <w:r>
              <w:rPr>
                <w:rFonts w:ascii="Times New Roman" w:hAnsi="Times New Roman"/>
                <w:sz w:val="18"/>
              </w:rPr>
              <w:t>Cắt ngang, DASS-Y</w:t>
            </w:r>
          </w:p>
        </w:tc>
        <w:tc>
          <w:tcPr>
            <w:tcW w:w="1417" w:type="dxa"/>
          </w:tcPr>
          <w:p>
            <w:pPr>
              <w:jc w:val="both"/>
            </w:pPr>
            <w:r>
              <w:rPr>
                <w:rFonts w:ascii="Times New Roman" w:hAnsi="Times New Roman"/>
                <w:sz w:val="18"/>
              </w:rPr>
              <w:t>976 HS THPT TP.HCM</w:t>
            </w:r>
          </w:p>
        </w:tc>
        <w:tc>
          <w:tcPr>
            <w:tcW w:w="2494" w:type="dxa"/>
          </w:tcPr>
          <w:p>
            <w:pPr>
              <w:jc w:val="both"/>
            </w:pPr>
            <w:r>
              <w:rPr>
                <w:rFonts w:ascii="Times New Roman" w:hAnsi="Times New Roman"/>
                <w:sz w:val="18"/>
              </w:rPr>
              <w:t>Áp lực học tập nặng: APR = 2,82</w:t>
            </w:r>
          </w:p>
        </w:tc>
      </w:tr>
      <w:tr>
        <w:tc>
          <w:tcPr>
            <w:tcW w:w="567" w:type="dxa"/>
          </w:tcPr>
          <w:p>
            <w:pPr>
              <w:jc w:val="both"/>
            </w:pPr>
            <w:r>
              <w:rPr>
                <w:rFonts w:ascii="Times New Roman" w:hAnsi="Times New Roman"/>
                <w:sz w:val="18"/>
              </w:rPr>
              <w:t>7</w:t>
            </w:r>
          </w:p>
        </w:tc>
        <w:tc>
          <w:tcPr>
            <w:tcW w:w="1587" w:type="dxa"/>
          </w:tcPr>
          <w:p>
            <w:pPr>
              <w:jc w:val="both"/>
            </w:pPr>
            <w:r>
              <w:rPr>
                <w:rFonts w:ascii="Times New Roman" w:hAnsi="Times New Roman"/>
                <w:sz w:val="18"/>
              </w:rPr>
              <w:t>Trần Thảo Vi &amp; cs (2024)</w:t>
            </w:r>
          </w:p>
        </w:tc>
        <w:tc>
          <w:tcPr>
            <w:tcW w:w="1360" w:type="dxa"/>
          </w:tcPr>
          <w:p>
            <w:pPr>
              <w:jc w:val="both"/>
            </w:pPr>
            <w:r>
              <w:rPr>
                <w:rFonts w:ascii="Times New Roman" w:hAnsi="Times New Roman"/>
                <w:sz w:val="18"/>
              </w:rPr>
              <w:t>Áp lực học tập</w:t>
            </w:r>
          </w:p>
        </w:tc>
        <w:tc>
          <w:tcPr>
            <w:tcW w:w="1360" w:type="dxa"/>
          </w:tcPr>
          <w:p>
            <w:pPr>
              <w:jc w:val="both"/>
            </w:pPr>
            <w:r>
              <w:rPr>
                <w:rFonts w:ascii="Times New Roman" w:hAnsi="Times New Roman"/>
                <w:sz w:val="18"/>
              </w:rPr>
              <w:t>Dọc 3 năm</w:t>
            </w:r>
          </w:p>
        </w:tc>
        <w:tc>
          <w:tcPr>
            <w:tcW w:w="1417" w:type="dxa"/>
          </w:tcPr>
          <w:p>
            <w:pPr>
              <w:jc w:val="both"/>
            </w:pPr>
            <w:r>
              <w:rPr>
                <w:rFonts w:ascii="Times New Roman" w:hAnsi="Times New Roman"/>
                <w:sz w:val="18"/>
              </w:rPr>
              <w:t>341 HS THCS Huế</w:t>
            </w:r>
          </w:p>
        </w:tc>
        <w:tc>
          <w:tcPr>
            <w:tcW w:w="2494" w:type="dxa"/>
          </w:tcPr>
          <w:p>
            <w:pPr>
              <w:jc w:val="both"/>
            </w:pPr>
            <w:r>
              <w:rPr>
                <w:rFonts w:ascii="Times New Roman" w:hAnsi="Times New Roman"/>
                <w:sz w:val="18"/>
              </w:rPr>
              <w:t>ESSA tăng 46,4 → 53,5 theo thời gian</w:t>
            </w:r>
          </w:p>
        </w:tc>
      </w:tr>
      <w:tr>
        <w:tc>
          <w:tcPr>
            <w:tcW w:w="567" w:type="dxa"/>
          </w:tcPr>
          <w:p>
            <w:pPr>
              <w:jc w:val="both"/>
            </w:pPr>
            <w:r>
              <w:rPr>
                <w:rFonts w:ascii="Times New Roman" w:hAnsi="Times New Roman"/>
                <w:sz w:val="18"/>
              </w:rPr>
              <w:t>8</w:t>
            </w:r>
          </w:p>
        </w:tc>
        <w:tc>
          <w:tcPr>
            <w:tcW w:w="1587" w:type="dxa"/>
          </w:tcPr>
          <w:p>
            <w:pPr>
              <w:jc w:val="both"/>
            </w:pPr>
            <w:r>
              <w:rPr>
                <w:rFonts w:ascii="Times New Roman" w:hAnsi="Times New Roman"/>
                <w:sz w:val="18"/>
              </w:rPr>
              <w:t>Fassi &amp; cs (2025)</w:t>
            </w:r>
          </w:p>
        </w:tc>
        <w:tc>
          <w:tcPr>
            <w:tcW w:w="1360" w:type="dxa"/>
          </w:tcPr>
          <w:p>
            <w:pPr>
              <w:jc w:val="both"/>
            </w:pPr>
            <w:r>
              <w:rPr>
                <w:rFonts w:ascii="Times New Roman" w:hAnsi="Times New Roman"/>
                <w:sz w:val="18"/>
              </w:rPr>
              <w:t>Mạng xã hội</w:t>
            </w:r>
          </w:p>
        </w:tc>
        <w:tc>
          <w:tcPr>
            <w:tcW w:w="1360" w:type="dxa"/>
          </w:tcPr>
          <w:p>
            <w:pPr>
              <w:jc w:val="both"/>
            </w:pPr>
            <w:r>
              <w:rPr>
                <w:rFonts w:ascii="Times New Roman" w:hAnsi="Times New Roman"/>
                <w:sz w:val="18"/>
              </w:rPr>
              <w:t>Cắt ngang quốc gia, có chẩn đoán</w:t>
            </w:r>
          </w:p>
        </w:tc>
        <w:tc>
          <w:tcPr>
            <w:tcW w:w="1417" w:type="dxa"/>
          </w:tcPr>
          <w:p>
            <w:pPr>
              <w:jc w:val="both"/>
            </w:pPr>
            <w:r>
              <w:rPr>
                <w:rFonts w:ascii="Times New Roman" w:hAnsi="Times New Roman"/>
                <w:sz w:val="18"/>
              </w:rPr>
              <w:t>3.340 VTN 11–19 tuổi UK</w:t>
            </w:r>
          </w:p>
        </w:tc>
        <w:tc>
          <w:tcPr>
            <w:tcW w:w="2494" w:type="dxa"/>
          </w:tcPr>
          <w:p>
            <w:pPr>
              <w:jc w:val="both"/>
            </w:pPr>
            <w:r>
              <w:rPr>
                <w:rFonts w:ascii="Times New Roman" w:hAnsi="Times New Roman"/>
                <w:sz w:val="18"/>
              </w:rPr>
              <w:t>Nhóm rối loạn nội tâm: g = 0,62</w:t>
            </w:r>
          </w:p>
        </w:tc>
      </w:tr>
      <w:tr>
        <w:tc>
          <w:tcPr>
            <w:tcW w:w="567" w:type="dxa"/>
          </w:tcPr>
          <w:p>
            <w:pPr>
              <w:jc w:val="both"/>
            </w:pPr>
            <w:r>
              <w:rPr>
                <w:rFonts w:ascii="Times New Roman" w:hAnsi="Times New Roman"/>
                <w:sz w:val="18"/>
              </w:rPr>
              <w:t>9</w:t>
            </w:r>
          </w:p>
        </w:tc>
        <w:tc>
          <w:tcPr>
            <w:tcW w:w="1587" w:type="dxa"/>
          </w:tcPr>
          <w:p>
            <w:pPr>
              <w:jc w:val="both"/>
            </w:pPr>
            <w:r>
              <w:rPr>
                <w:rFonts w:ascii="Times New Roman" w:hAnsi="Times New Roman"/>
                <w:sz w:val="18"/>
              </w:rPr>
              <w:t>Brunborg &amp; cs (2025)</w:t>
            </w:r>
          </w:p>
        </w:tc>
        <w:tc>
          <w:tcPr>
            <w:tcW w:w="1360" w:type="dxa"/>
          </w:tcPr>
          <w:p>
            <w:pPr>
              <w:jc w:val="both"/>
            </w:pPr>
            <w:r>
              <w:rPr>
                <w:rFonts w:ascii="Times New Roman" w:hAnsi="Times New Roman"/>
                <w:sz w:val="18"/>
              </w:rPr>
              <w:t>Mạng xã hội</w:t>
            </w:r>
          </w:p>
        </w:tc>
        <w:tc>
          <w:tcPr>
            <w:tcW w:w="1360" w:type="dxa"/>
          </w:tcPr>
          <w:p>
            <w:pPr>
              <w:jc w:val="both"/>
            </w:pPr>
            <w:r>
              <w:rPr>
                <w:rFonts w:ascii="Times New Roman" w:hAnsi="Times New Roman"/>
                <w:sz w:val="18"/>
              </w:rPr>
              <w:t>Decomposition chuỗi thời gian</w:t>
            </w:r>
          </w:p>
        </w:tc>
        <w:tc>
          <w:tcPr>
            <w:tcW w:w="1417" w:type="dxa"/>
          </w:tcPr>
          <w:p>
            <w:pPr>
              <w:jc w:val="both"/>
            </w:pPr>
            <w:r>
              <w:rPr>
                <w:rFonts w:ascii="Times New Roman" w:hAnsi="Times New Roman"/>
                <w:sz w:val="18"/>
              </w:rPr>
              <w:t>979.043 VTN Na Uy</w:t>
            </w:r>
          </w:p>
        </w:tc>
        <w:tc>
          <w:tcPr>
            <w:tcW w:w="2494" w:type="dxa"/>
          </w:tcPr>
          <w:p>
            <w:pPr>
              <w:jc w:val="both"/>
            </w:pPr>
            <w:r>
              <w:rPr>
                <w:rFonts w:ascii="Times New Roman" w:hAnsi="Times New Roman"/>
                <w:sz w:val="18"/>
              </w:rPr>
              <w:t>Mạng xã hội giải thích xu hướng tăng căng thẳng</w:t>
            </w:r>
          </w:p>
        </w:tc>
      </w:tr>
      <w:tr>
        <w:tc>
          <w:tcPr>
            <w:tcW w:w="567" w:type="dxa"/>
          </w:tcPr>
          <w:p>
            <w:pPr>
              <w:jc w:val="both"/>
            </w:pPr>
            <w:r>
              <w:rPr>
                <w:rFonts w:ascii="Times New Roman" w:hAnsi="Times New Roman"/>
                <w:sz w:val="18"/>
              </w:rPr>
              <w:t>10</w:t>
            </w:r>
          </w:p>
        </w:tc>
        <w:tc>
          <w:tcPr>
            <w:tcW w:w="1587" w:type="dxa"/>
          </w:tcPr>
          <w:p>
            <w:pPr>
              <w:jc w:val="both"/>
            </w:pPr>
            <w:r>
              <w:rPr>
                <w:rFonts w:ascii="Times New Roman" w:hAnsi="Times New Roman"/>
                <w:sz w:val="18"/>
              </w:rPr>
              <w:t>Hoàng Trung Học &amp; Nguyễn Thùy Dung (2025)</w:t>
            </w:r>
          </w:p>
        </w:tc>
        <w:tc>
          <w:tcPr>
            <w:tcW w:w="1360" w:type="dxa"/>
          </w:tcPr>
          <w:p>
            <w:pPr>
              <w:jc w:val="both"/>
            </w:pPr>
            <w:r>
              <w:rPr>
                <w:rFonts w:ascii="Times New Roman" w:hAnsi="Times New Roman"/>
                <w:sz w:val="18"/>
              </w:rPr>
              <w:t>Mạng xã hội + áp lực</w:t>
            </w:r>
          </w:p>
        </w:tc>
        <w:tc>
          <w:tcPr>
            <w:tcW w:w="1360" w:type="dxa"/>
          </w:tcPr>
          <w:p>
            <w:pPr>
              <w:jc w:val="both"/>
            </w:pPr>
            <w:r>
              <w:rPr>
                <w:rFonts w:ascii="Times New Roman" w:hAnsi="Times New Roman"/>
                <w:sz w:val="18"/>
              </w:rPr>
              <w:t>Cắt ngang lặp 2 thời điểm, DASS-21</w:t>
            </w:r>
          </w:p>
        </w:tc>
        <w:tc>
          <w:tcPr>
            <w:tcW w:w="1417" w:type="dxa"/>
          </w:tcPr>
          <w:p>
            <w:pPr>
              <w:jc w:val="both"/>
            </w:pPr>
            <w:r>
              <w:rPr>
                <w:rFonts w:ascii="Times New Roman" w:hAnsi="Times New Roman"/>
                <w:sz w:val="18"/>
              </w:rPr>
              <w:t>8.389 HS 6 tỉnh (4.052 + 4.337)</w:t>
            </w:r>
          </w:p>
        </w:tc>
        <w:tc>
          <w:tcPr>
            <w:tcW w:w="2494" w:type="dxa"/>
          </w:tcPr>
          <w:p>
            <w:pPr>
              <w:jc w:val="both"/>
            </w:pPr>
            <w:r>
              <w:rPr>
                <w:rFonts w:ascii="Times New Roman" w:hAnsi="Times New Roman"/>
                <w:sz w:val="18"/>
              </w:rPr>
              <w:t>Lo âu 41,5% trong COVID; 25,4% sau</w:t>
            </w:r>
          </w:p>
        </w:tc>
      </w:tr>
      <w:tr>
        <w:tc>
          <w:tcPr>
            <w:tcW w:w="567" w:type="dxa"/>
          </w:tcPr>
          <w:p>
            <w:pPr>
              <w:jc w:val="both"/>
            </w:pPr>
            <w:r>
              <w:rPr>
                <w:rFonts w:ascii="Times New Roman" w:hAnsi="Times New Roman"/>
                <w:sz w:val="18"/>
              </w:rPr>
              <w:t>11</w:t>
            </w:r>
          </w:p>
        </w:tc>
        <w:tc>
          <w:tcPr>
            <w:tcW w:w="1587" w:type="dxa"/>
          </w:tcPr>
          <w:p>
            <w:pPr>
              <w:jc w:val="both"/>
            </w:pPr>
            <w:r>
              <w:rPr>
                <w:rFonts w:ascii="Times New Roman" w:hAnsi="Times New Roman"/>
                <w:sz w:val="18"/>
              </w:rPr>
              <w:t>Xu &amp; cs (2021)</w:t>
            </w:r>
          </w:p>
        </w:tc>
        <w:tc>
          <w:tcPr>
            <w:tcW w:w="1360" w:type="dxa"/>
          </w:tcPr>
          <w:p>
            <w:pPr>
              <w:jc w:val="both"/>
            </w:pPr>
            <w:r>
              <w:rPr>
                <w:rFonts w:ascii="Times New Roman" w:hAnsi="Times New Roman"/>
                <w:sz w:val="18"/>
              </w:rPr>
              <w:t>Áp lực + COVID</w:t>
            </w:r>
          </w:p>
        </w:tc>
        <w:tc>
          <w:tcPr>
            <w:tcW w:w="1360" w:type="dxa"/>
          </w:tcPr>
          <w:p>
            <w:pPr>
              <w:jc w:val="both"/>
            </w:pPr>
            <w:r>
              <w:rPr>
                <w:rFonts w:ascii="Times New Roman" w:hAnsi="Times New Roman"/>
                <w:sz w:val="18"/>
              </w:rPr>
              <w:t>Cắt ngang quy mô lớn, GAD-7</w:t>
            </w:r>
          </w:p>
        </w:tc>
        <w:tc>
          <w:tcPr>
            <w:tcW w:w="1417" w:type="dxa"/>
          </w:tcPr>
          <w:p>
            <w:pPr>
              <w:jc w:val="both"/>
            </w:pPr>
            <w:r>
              <w:rPr>
                <w:rFonts w:ascii="Times New Roman" w:hAnsi="Times New Roman"/>
                <w:sz w:val="18"/>
              </w:rPr>
              <w:t>373.216 HS THCS-THPT TQ</w:t>
            </w:r>
          </w:p>
        </w:tc>
        <w:tc>
          <w:tcPr>
            <w:tcW w:w="2494" w:type="dxa"/>
          </w:tcPr>
          <w:p>
            <w:pPr>
              <w:jc w:val="both"/>
            </w:pPr>
            <w:r>
              <w:rPr>
                <w:rFonts w:ascii="Times New Roman" w:hAnsi="Times New Roman"/>
                <w:sz w:val="18"/>
              </w:rPr>
              <w:t>Lo âu 9,89%; THCS &gt; THPT</w:t>
            </w:r>
          </w:p>
        </w:tc>
      </w:tr>
      <w:tr>
        <w:tc>
          <w:tcPr>
            <w:tcW w:w="567" w:type="dxa"/>
          </w:tcPr>
          <w:p>
            <w:pPr>
              <w:jc w:val="both"/>
            </w:pPr>
            <w:r>
              <w:rPr>
                <w:rFonts w:ascii="Times New Roman" w:hAnsi="Times New Roman"/>
                <w:sz w:val="18"/>
              </w:rPr>
              <w:t>12</w:t>
            </w:r>
          </w:p>
        </w:tc>
        <w:tc>
          <w:tcPr>
            <w:tcW w:w="1587" w:type="dxa"/>
          </w:tcPr>
          <w:p>
            <w:pPr>
              <w:jc w:val="both"/>
            </w:pPr>
            <w:r>
              <w:rPr>
                <w:rFonts w:ascii="Times New Roman" w:hAnsi="Times New Roman"/>
                <w:sz w:val="18"/>
              </w:rPr>
              <w:t>Chen &amp; cs (2023)</w:t>
            </w:r>
          </w:p>
        </w:tc>
        <w:tc>
          <w:tcPr>
            <w:tcW w:w="1360" w:type="dxa"/>
          </w:tcPr>
          <w:p>
            <w:pPr>
              <w:jc w:val="both"/>
            </w:pPr>
            <w:r>
              <w:rPr>
                <w:rFonts w:ascii="Times New Roman" w:hAnsi="Times New Roman"/>
                <w:sz w:val="18"/>
              </w:rPr>
              <w:t>Tổng hợp YTNC</w:t>
            </w:r>
          </w:p>
        </w:tc>
        <w:tc>
          <w:tcPr>
            <w:tcW w:w="1360" w:type="dxa"/>
          </w:tcPr>
          <w:p>
            <w:pPr>
              <w:jc w:val="both"/>
            </w:pPr>
            <w:r>
              <w:rPr>
                <w:rFonts w:ascii="Times New Roman" w:hAnsi="Times New Roman"/>
                <w:sz w:val="18"/>
              </w:rPr>
              <w:t>Cắt ngang</w:t>
            </w:r>
          </w:p>
        </w:tc>
        <w:tc>
          <w:tcPr>
            <w:tcW w:w="1417" w:type="dxa"/>
          </w:tcPr>
          <w:p>
            <w:pPr>
              <w:jc w:val="both"/>
            </w:pPr>
            <w:r>
              <w:rPr>
                <w:rFonts w:ascii="Times New Roman" w:hAnsi="Times New Roman"/>
                <w:sz w:val="18"/>
              </w:rPr>
              <w:t>63.205 HS TQ</w:t>
            </w:r>
          </w:p>
        </w:tc>
        <w:tc>
          <w:tcPr>
            <w:tcW w:w="2494" w:type="dxa"/>
          </w:tcPr>
          <w:p>
            <w:pPr>
              <w:jc w:val="both"/>
            </w:pPr>
            <w:r>
              <w:rPr>
                <w:rFonts w:ascii="Times New Roman" w:hAnsi="Times New Roman"/>
                <w:sz w:val="18"/>
              </w:rPr>
              <w:t>Triệu chứng lo âu 13,9%</w:t>
            </w:r>
          </w:p>
        </w:tc>
      </w:tr>
      <w:tr>
        <w:tc>
          <w:tcPr>
            <w:tcW w:w="567" w:type="dxa"/>
          </w:tcPr>
          <w:p>
            <w:pPr>
              <w:jc w:val="both"/>
            </w:pPr>
            <w:r>
              <w:rPr>
                <w:rFonts w:ascii="Times New Roman" w:hAnsi="Times New Roman"/>
                <w:sz w:val="18"/>
              </w:rPr>
              <w:t>13</w:t>
            </w:r>
          </w:p>
        </w:tc>
        <w:tc>
          <w:tcPr>
            <w:tcW w:w="1587" w:type="dxa"/>
          </w:tcPr>
          <w:p>
            <w:pPr>
              <w:jc w:val="both"/>
            </w:pPr>
            <w:r>
              <w:rPr>
                <w:rFonts w:ascii="Times New Roman" w:hAnsi="Times New Roman"/>
                <w:sz w:val="18"/>
              </w:rPr>
              <w:t>Moore &amp; cs (2017)</w:t>
            </w:r>
          </w:p>
        </w:tc>
        <w:tc>
          <w:tcPr>
            <w:tcW w:w="1360" w:type="dxa"/>
          </w:tcPr>
          <w:p>
            <w:pPr>
              <w:jc w:val="both"/>
            </w:pPr>
            <w:r>
              <w:rPr>
                <w:rFonts w:ascii="Times New Roman" w:hAnsi="Times New Roman"/>
                <w:sz w:val="18"/>
              </w:rPr>
              <w:t>Bắt nạt</w:t>
            </w:r>
          </w:p>
        </w:tc>
        <w:tc>
          <w:tcPr>
            <w:tcW w:w="1360" w:type="dxa"/>
          </w:tcPr>
          <w:p>
            <w:pPr>
              <w:jc w:val="both"/>
            </w:pPr>
            <w:r>
              <w:rPr>
                <w:rFonts w:ascii="Times New Roman" w:hAnsi="Times New Roman"/>
                <w:sz w:val="18"/>
              </w:rPr>
              <w:t>Phân tích tổng hợp 165 NC</w:t>
            </w:r>
          </w:p>
        </w:tc>
        <w:tc>
          <w:tcPr>
            <w:tcW w:w="1417" w:type="dxa"/>
          </w:tcPr>
          <w:p>
            <w:pPr>
              <w:jc w:val="both"/>
            </w:pPr>
            <w:r>
              <w:rPr>
                <w:rFonts w:ascii="Times New Roman" w:hAnsi="Times New Roman"/>
                <w:sz w:val="18"/>
              </w:rPr>
              <w:t>Trẻ em – VTN toàn cầu</w:t>
            </w:r>
          </w:p>
        </w:tc>
        <w:tc>
          <w:tcPr>
            <w:tcW w:w="2494" w:type="dxa"/>
          </w:tcPr>
          <w:p>
            <w:pPr>
              <w:jc w:val="both"/>
            </w:pPr>
            <w:r>
              <w:rPr>
                <w:rFonts w:ascii="Times New Roman" w:hAnsi="Times New Roman"/>
                <w:sz w:val="18"/>
              </w:rPr>
              <w:t>Bắt nạt → lo âu: OR = 1,77 (1,34–2,33)</w:t>
            </w:r>
          </w:p>
        </w:tc>
      </w:tr>
      <w:tr>
        <w:tc>
          <w:tcPr>
            <w:tcW w:w="567" w:type="dxa"/>
          </w:tcPr>
          <w:p>
            <w:pPr>
              <w:jc w:val="both"/>
            </w:pPr>
            <w:r>
              <w:rPr>
                <w:rFonts w:ascii="Times New Roman" w:hAnsi="Times New Roman"/>
                <w:sz w:val="18"/>
              </w:rPr>
              <w:t>14</w:t>
            </w:r>
          </w:p>
        </w:tc>
        <w:tc>
          <w:tcPr>
            <w:tcW w:w="1587" w:type="dxa"/>
          </w:tcPr>
          <w:p>
            <w:pPr>
              <w:jc w:val="both"/>
            </w:pPr>
            <w:r>
              <w:rPr>
                <w:rFonts w:ascii="Times New Roman" w:hAnsi="Times New Roman"/>
                <w:sz w:val="18"/>
              </w:rPr>
              <w:t>Lee &amp; cs (2026)</w:t>
            </w:r>
          </w:p>
        </w:tc>
        <w:tc>
          <w:tcPr>
            <w:tcW w:w="1360" w:type="dxa"/>
          </w:tcPr>
          <w:p>
            <w:pPr>
              <w:jc w:val="both"/>
            </w:pPr>
            <w:r>
              <w:rPr>
                <w:rFonts w:ascii="Times New Roman" w:hAnsi="Times New Roman"/>
                <w:sz w:val="18"/>
              </w:rPr>
              <w:t>Bắt nạt mạng</w:t>
            </w:r>
          </w:p>
        </w:tc>
        <w:tc>
          <w:tcPr>
            <w:tcW w:w="1360" w:type="dxa"/>
          </w:tcPr>
          <w:p>
            <w:pPr>
              <w:jc w:val="both"/>
            </w:pPr>
            <w:r>
              <w:rPr>
                <w:rFonts w:ascii="Times New Roman" w:hAnsi="Times New Roman"/>
                <w:sz w:val="18"/>
              </w:rPr>
              <w:t>Phân tích tổng hợp 27 NC dọc</w:t>
            </w:r>
          </w:p>
        </w:tc>
        <w:tc>
          <w:tcPr>
            <w:tcW w:w="1417" w:type="dxa"/>
          </w:tcPr>
          <w:p>
            <w:pPr>
              <w:jc w:val="both"/>
            </w:pPr>
            <w:r>
              <w:rPr>
                <w:rFonts w:ascii="Times New Roman" w:hAnsi="Times New Roman"/>
                <w:sz w:val="18"/>
              </w:rPr>
              <w:t>Trẻ em – VTN toàn cầu</w:t>
            </w:r>
          </w:p>
        </w:tc>
        <w:tc>
          <w:tcPr>
            <w:tcW w:w="2494" w:type="dxa"/>
          </w:tcPr>
          <w:p>
            <w:pPr>
              <w:jc w:val="both"/>
            </w:pPr>
            <w:r>
              <w:rPr>
                <w:rFonts w:ascii="Times New Roman" w:hAnsi="Times New Roman"/>
                <w:sz w:val="18"/>
              </w:rPr>
              <w:t>Bắt nạt mạng → SKTT: r = 0,23 (0,19–0,27)</w:t>
            </w:r>
          </w:p>
        </w:tc>
      </w:tr>
      <w:tr>
        <w:tc>
          <w:tcPr>
            <w:tcW w:w="567" w:type="dxa"/>
          </w:tcPr>
          <w:p>
            <w:pPr>
              <w:jc w:val="both"/>
            </w:pPr>
            <w:r>
              <w:rPr>
                <w:rFonts w:ascii="Times New Roman" w:hAnsi="Times New Roman"/>
                <w:sz w:val="18"/>
              </w:rPr>
              <w:t>15</w:t>
            </w:r>
          </w:p>
        </w:tc>
        <w:tc>
          <w:tcPr>
            <w:tcW w:w="1587" w:type="dxa"/>
          </w:tcPr>
          <w:p>
            <w:pPr>
              <w:jc w:val="both"/>
            </w:pPr>
            <w:r>
              <w:rPr>
                <w:rFonts w:ascii="Times New Roman" w:hAnsi="Times New Roman"/>
                <w:sz w:val="18"/>
              </w:rPr>
              <w:t>Phạm Thị Ngọc &amp; cs (2024)</w:t>
            </w:r>
          </w:p>
        </w:tc>
        <w:tc>
          <w:tcPr>
            <w:tcW w:w="1360" w:type="dxa"/>
          </w:tcPr>
          <w:p>
            <w:pPr>
              <w:jc w:val="both"/>
            </w:pPr>
            <w:r>
              <w:rPr>
                <w:rFonts w:ascii="Times New Roman" w:hAnsi="Times New Roman"/>
                <w:sz w:val="18"/>
              </w:rPr>
              <w:t>Bắt nạt</w:t>
            </w:r>
          </w:p>
        </w:tc>
        <w:tc>
          <w:tcPr>
            <w:tcW w:w="1360" w:type="dxa"/>
          </w:tcPr>
          <w:p>
            <w:pPr>
              <w:jc w:val="both"/>
            </w:pPr>
            <w:r>
              <w:rPr>
                <w:rFonts w:ascii="Times New Roman" w:hAnsi="Times New Roman"/>
                <w:sz w:val="18"/>
              </w:rPr>
              <w:t>Cắt ngang</w:t>
            </w:r>
          </w:p>
        </w:tc>
        <w:tc>
          <w:tcPr>
            <w:tcW w:w="1417" w:type="dxa"/>
          </w:tcPr>
          <w:p>
            <w:pPr>
              <w:jc w:val="both"/>
            </w:pPr>
            <w:r>
              <w:rPr>
                <w:rFonts w:ascii="Times New Roman" w:hAnsi="Times New Roman"/>
                <w:sz w:val="18"/>
              </w:rPr>
              <w:t>420 HS Vĩnh Bảo HP</w:t>
            </w:r>
          </w:p>
        </w:tc>
        <w:tc>
          <w:tcPr>
            <w:tcW w:w="2494" w:type="dxa"/>
          </w:tcPr>
          <w:p>
            <w:pPr>
              <w:jc w:val="both"/>
            </w:pPr>
            <w:r>
              <w:rPr>
                <w:rFonts w:ascii="Times New Roman" w:hAnsi="Times New Roman"/>
                <w:sz w:val="18"/>
              </w:rPr>
              <w:t>Bị bạo lực: AOR = 2,42 (1,03–5,71)</w:t>
            </w:r>
          </w:p>
        </w:tc>
      </w:tr>
      <w:tr>
        <w:tc>
          <w:tcPr>
            <w:tcW w:w="567" w:type="dxa"/>
          </w:tcPr>
          <w:p>
            <w:pPr>
              <w:jc w:val="both"/>
            </w:pPr>
            <w:r>
              <w:rPr>
                <w:rFonts w:ascii="Times New Roman" w:hAnsi="Times New Roman"/>
                <w:sz w:val="18"/>
              </w:rPr>
              <w:t>16</w:t>
            </w:r>
          </w:p>
        </w:tc>
        <w:tc>
          <w:tcPr>
            <w:tcW w:w="1587" w:type="dxa"/>
          </w:tcPr>
          <w:p>
            <w:pPr>
              <w:jc w:val="both"/>
            </w:pPr>
            <w:r>
              <w:rPr>
                <w:rFonts w:ascii="Times New Roman" w:hAnsi="Times New Roman"/>
                <w:sz w:val="18"/>
              </w:rPr>
              <w:t>Ngô Anh Vinh &amp; cs (2024)</w:t>
            </w:r>
          </w:p>
        </w:tc>
        <w:tc>
          <w:tcPr>
            <w:tcW w:w="1360" w:type="dxa"/>
          </w:tcPr>
          <w:p>
            <w:pPr>
              <w:jc w:val="both"/>
            </w:pPr>
            <w:r>
              <w:rPr>
                <w:rFonts w:ascii="Times New Roman" w:hAnsi="Times New Roman"/>
                <w:sz w:val="18"/>
              </w:rPr>
              <w:t>Bắt nạt + DTTS</w:t>
            </w:r>
          </w:p>
        </w:tc>
        <w:tc>
          <w:tcPr>
            <w:tcW w:w="1360" w:type="dxa"/>
          </w:tcPr>
          <w:p>
            <w:pPr>
              <w:jc w:val="both"/>
            </w:pPr>
            <w:r>
              <w:rPr>
                <w:rFonts w:ascii="Times New Roman" w:hAnsi="Times New Roman"/>
                <w:sz w:val="18"/>
              </w:rPr>
              <w:t>Cắt ngang</w:t>
            </w:r>
          </w:p>
        </w:tc>
        <w:tc>
          <w:tcPr>
            <w:tcW w:w="1417" w:type="dxa"/>
          </w:tcPr>
          <w:p>
            <w:pPr>
              <w:jc w:val="both"/>
            </w:pPr>
            <w:r>
              <w:rPr>
                <w:rFonts w:ascii="Times New Roman" w:hAnsi="Times New Roman"/>
                <w:sz w:val="18"/>
              </w:rPr>
              <w:t>845 HS DTTS Lạng Sơn</w:t>
            </w:r>
          </w:p>
        </w:tc>
        <w:tc>
          <w:tcPr>
            <w:tcW w:w="2494" w:type="dxa"/>
          </w:tcPr>
          <w:p>
            <w:pPr>
              <w:jc w:val="both"/>
            </w:pPr>
            <w:r>
              <w:rPr>
                <w:rFonts w:ascii="Times New Roman" w:hAnsi="Times New Roman"/>
                <w:sz w:val="18"/>
              </w:rPr>
              <w:t>Quan hệ bạn bè kém → lo âu/stress/trầm cảm</w:t>
            </w:r>
          </w:p>
        </w:tc>
      </w:tr>
      <w:tr>
        <w:tc>
          <w:tcPr>
            <w:tcW w:w="567" w:type="dxa"/>
          </w:tcPr>
          <w:p>
            <w:pPr>
              <w:jc w:val="both"/>
            </w:pPr>
            <w:r>
              <w:rPr>
                <w:rFonts w:ascii="Times New Roman" w:hAnsi="Times New Roman"/>
                <w:sz w:val="18"/>
              </w:rPr>
              <w:t>17</w:t>
            </w:r>
          </w:p>
        </w:tc>
        <w:tc>
          <w:tcPr>
            <w:tcW w:w="1587" w:type="dxa"/>
          </w:tcPr>
          <w:p>
            <w:pPr>
              <w:jc w:val="both"/>
            </w:pPr>
            <w:r>
              <w:rPr>
                <w:rFonts w:ascii="Times New Roman" w:hAnsi="Times New Roman"/>
                <w:sz w:val="18"/>
              </w:rPr>
              <w:t>Sowislo &amp; Orth (2013)</w:t>
            </w:r>
          </w:p>
        </w:tc>
        <w:tc>
          <w:tcPr>
            <w:tcW w:w="1360" w:type="dxa"/>
          </w:tcPr>
          <w:p>
            <w:pPr>
              <w:jc w:val="both"/>
            </w:pPr>
            <w:r>
              <w:rPr>
                <w:rFonts w:ascii="Times New Roman" w:hAnsi="Times New Roman"/>
                <w:sz w:val="18"/>
              </w:rPr>
              <w:t>Lòng tự trọng</w:t>
            </w:r>
          </w:p>
        </w:tc>
        <w:tc>
          <w:tcPr>
            <w:tcW w:w="1360" w:type="dxa"/>
          </w:tcPr>
          <w:p>
            <w:pPr>
              <w:jc w:val="both"/>
            </w:pPr>
            <w:r>
              <w:rPr>
                <w:rFonts w:ascii="Times New Roman" w:hAnsi="Times New Roman"/>
                <w:sz w:val="18"/>
              </w:rPr>
              <w:t>Phân tích tổng hợp NC dọc</w:t>
            </w:r>
          </w:p>
        </w:tc>
        <w:tc>
          <w:tcPr>
            <w:tcW w:w="1417" w:type="dxa"/>
          </w:tcPr>
          <w:p>
            <w:pPr>
              <w:jc w:val="both"/>
            </w:pPr>
            <w:r>
              <w:rPr>
                <w:rFonts w:ascii="Times New Roman" w:hAnsi="Times New Roman"/>
                <w:sz w:val="18"/>
              </w:rPr>
              <w:t>18 mẫu dọc lo âu</w:t>
            </w:r>
          </w:p>
        </w:tc>
        <w:tc>
          <w:tcPr>
            <w:tcW w:w="2494" w:type="dxa"/>
          </w:tcPr>
          <w:p>
            <w:pPr>
              <w:jc w:val="both"/>
            </w:pPr>
            <w:r>
              <w:rPr>
                <w:rFonts w:ascii="Times New Roman" w:hAnsi="Times New Roman"/>
                <w:sz w:val="18"/>
              </w:rPr>
              <w:t>Tự trọng thấp dự báo lo âu: β = −0,10</w:t>
            </w:r>
          </w:p>
        </w:tc>
      </w:tr>
      <w:tr>
        <w:tc>
          <w:tcPr>
            <w:tcW w:w="567" w:type="dxa"/>
          </w:tcPr>
          <w:p>
            <w:pPr>
              <w:jc w:val="both"/>
            </w:pPr>
            <w:r>
              <w:rPr>
                <w:rFonts w:ascii="Times New Roman" w:hAnsi="Times New Roman"/>
                <w:sz w:val="18"/>
              </w:rPr>
              <w:t>18</w:t>
            </w:r>
          </w:p>
        </w:tc>
        <w:tc>
          <w:tcPr>
            <w:tcW w:w="1587" w:type="dxa"/>
          </w:tcPr>
          <w:p>
            <w:pPr>
              <w:jc w:val="both"/>
            </w:pPr>
            <w:r>
              <w:rPr>
                <w:rFonts w:ascii="Times New Roman" w:hAnsi="Times New Roman"/>
                <w:sz w:val="18"/>
              </w:rPr>
              <w:t>Compas &amp; cs (2017)</w:t>
            </w:r>
          </w:p>
        </w:tc>
        <w:tc>
          <w:tcPr>
            <w:tcW w:w="1360" w:type="dxa"/>
          </w:tcPr>
          <w:p>
            <w:pPr>
              <w:jc w:val="both"/>
            </w:pPr>
            <w:r>
              <w:rPr>
                <w:rFonts w:ascii="Times New Roman" w:hAnsi="Times New Roman"/>
                <w:sz w:val="18"/>
              </w:rPr>
              <w:t>Đối phó + tự trọng</w:t>
            </w:r>
          </w:p>
        </w:tc>
        <w:tc>
          <w:tcPr>
            <w:tcW w:w="1360" w:type="dxa"/>
          </w:tcPr>
          <w:p>
            <w:pPr>
              <w:jc w:val="both"/>
            </w:pPr>
            <w:r>
              <w:rPr>
                <w:rFonts w:ascii="Times New Roman" w:hAnsi="Times New Roman"/>
                <w:sz w:val="18"/>
              </w:rPr>
              <w:t>Phân tích tổng hợp</w:t>
            </w:r>
          </w:p>
        </w:tc>
        <w:tc>
          <w:tcPr>
            <w:tcW w:w="1417" w:type="dxa"/>
          </w:tcPr>
          <w:p>
            <w:pPr>
              <w:jc w:val="both"/>
            </w:pPr>
            <w:r>
              <w:rPr>
                <w:rFonts w:ascii="Times New Roman" w:hAnsi="Times New Roman"/>
                <w:sz w:val="18"/>
              </w:rPr>
              <w:t>&gt; 80.000 trẻ em – VTN</w:t>
            </w:r>
          </w:p>
        </w:tc>
        <w:tc>
          <w:tcPr>
            <w:tcW w:w="2494" w:type="dxa"/>
          </w:tcPr>
          <w:p>
            <w:pPr>
              <w:jc w:val="both"/>
            </w:pPr>
            <w:r>
              <w:rPr>
                <w:rFonts w:ascii="Times New Roman" w:hAnsi="Times New Roman"/>
                <w:sz w:val="18"/>
              </w:rPr>
              <w:t>Đối phó né tránh → lo âu (thuận)</w:t>
            </w:r>
          </w:p>
        </w:tc>
      </w:tr>
      <w:tr>
        <w:tc>
          <w:tcPr>
            <w:tcW w:w="567" w:type="dxa"/>
          </w:tcPr>
          <w:p>
            <w:pPr>
              <w:jc w:val="both"/>
            </w:pPr>
            <w:r>
              <w:rPr>
                <w:rFonts w:ascii="Times New Roman" w:hAnsi="Times New Roman"/>
                <w:sz w:val="18"/>
              </w:rPr>
              <w:t>19</w:t>
            </w:r>
          </w:p>
        </w:tc>
        <w:tc>
          <w:tcPr>
            <w:tcW w:w="1587" w:type="dxa"/>
          </w:tcPr>
          <w:p>
            <w:pPr>
              <w:jc w:val="both"/>
            </w:pPr>
            <w:r>
              <w:rPr>
                <w:rFonts w:ascii="Times New Roman" w:hAnsi="Times New Roman"/>
                <w:sz w:val="18"/>
              </w:rPr>
              <w:t>Phạm Sỹ Tiến &amp; cs (2024)</w:t>
            </w:r>
          </w:p>
        </w:tc>
        <w:tc>
          <w:tcPr>
            <w:tcW w:w="1360" w:type="dxa"/>
          </w:tcPr>
          <w:p>
            <w:pPr>
              <w:jc w:val="both"/>
            </w:pPr>
            <w:r>
              <w:rPr>
                <w:rFonts w:ascii="Times New Roman" w:hAnsi="Times New Roman"/>
                <w:sz w:val="18"/>
              </w:rPr>
              <w:t>Lòng tự trọng (chất lượng chăm sóc)</w:t>
            </w:r>
          </w:p>
        </w:tc>
        <w:tc>
          <w:tcPr>
            <w:tcW w:w="1360" w:type="dxa"/>
          </w:tcPr>
          <w:p>
            <w:pPr>
              <w:jc w:val="both"/>
            </w:pPr>
            <w:r>
              <w:rPr>
                <w:rFonts w:ascii="Times New Roman" w:hAnsi="Times New Roman"/>
                <w:sz w:val="18"/>
              </w:rPr>
              <w:t>Cắt ngang</w:t>
            </w:r>
          </w:p>
        </w:tc>
        <w:tc>
          <w:tcPr>
            <w:tcW w:w="1417" w:type="dxa"/>
          </w:tcPr>
          <w:p>
            <w:pPr>
              <w:jc w:val="both"/>
            </w:pPr>
            <w:r>
              <w:rPr>
                <w:rFonts w:ascii="Times New Roman" w:hAnsi="Times New Roman"/>
                <w:sz w:val="18"/>
              </w:rPr>
              <w:t>546 VTN 9 tỉnh</w:t>
            </w:r>
          </w:p>
        </w:tc>
        <w:tc>
          <w:tcPr>
            <w:tcW w:w="2494" w:type="dxa"/>
          </w:tcPr>
          <w:p>
            <w:pPr>
              <w:jc w:val="both"/>
            </w:pPr>
            <w:r>
              <w:rPr>
                <w:rFonts w:ascii="Times New Roman" w:hAnsi="Times New Roman"/>
                <w:sz w:val="18"/>
              </w:rPr>
              <w:t>Chăm sóc cảm xúc → SKTT: β = −0,40</w:t>
            </w:r>
          </w:p>
        </w:tc>
      </w:tr>
      <w:tr>
        <w:tc>
          <w:tcPr>
            <w:tcW w:w="567" w:type="dxa"/>
          </w:tcPr>
          <w:p>
            <w:pPr>
              <w:jc w:val="both"/>
            </w:pPr>
            <w:r>
              <w:rPr>
                <w:rFonts w:ascii="Times New Roman" w:hAnsi="Times New Roman"/>
                <w:sz w:val="18"/>
              </w:rPr>
              <w:t>20</w:t>
            </w:r>
          </w:p>
        </w:tc>
        <w:tc>
          <w:tcPr>
            <w:tcW w:w="1587" w:type="dxa"/>
          </w:tcPr>
          <w:p>
            <w:pPr>
              <w:jc w:val="both"/>
            </w:pPr>
            <w:r>
              <w:rPr>
                <w:rFonts w:ascii="Times New Roman" w:hAnsi="Times New Roman"/>
                <w:sz w:val="18"/>
              </w:rPr>
              <w:t>Trúc Thanh Thái &amp; cs (2026)</w:t>
            </w:r>
          </w:p>
        </w:tc>
        <w:tc>
          <w:tcPr>
            <w:tcW w:w="1360" w:type="dxa"/>
          </w:tcPr>
          <w:p>
            <w:pPr>
              <w:jc w:val="both"/>
            </w:pPr>
            <w:r>
              <w:rPr>
                <w:rFonts w:ascii="Times New Roman" w:hAnsi="Times New Roman"/>
                <w:sz w:val="18"/>
              </w:rPr>
              <w:t>Tổng hợp YTNC</w:t>
            </w:r>
          </w:p>
        </w:tc>
        <w:tc>
          <w:tcPr>
            <w:tcW w:w="1360" w:type="dxa"/>
          </w:tcPr>
          <w:p>
            <w:pPr>
              <w:jc w:val="both"/>
            </w:pPr>
            <w:r>
              <w:rPr>
                <w:rFonts w:ascii="Times New Roman" w:hAnsi="Times New Roman"/>
                <w:sz w:val="18"/>
              </w:rPr>
              <w:t>Cắt ngang đa trung tâm</w:t>
            </w:r>
          </w:p>
        </w:tc>
        <w:tc>
          <w:tcPr>
            <w:tcW w:w="1417" w:type="dxa"/>
          </w:tcPr>
          <w:p>
            <w:pPr>
              <w:jc w:val="both"/>
            </w:pPr>
            <w:r>
              <w:rPr>
                <w:rFonts w:ascii="Times New Roman" w:hAnsi="Times New Roman"/>
                <w:sz w:val="18"/>
              </w:rPr>
              <w:t>2.631 HS THPT + GDTX TP.HCM</w:t>
            </w:r>
          </w:p>
        </w:tc>
        <w:tc>
          <w:tcPr>
            <w:tcW w:w="2494" w:type="dxa"/>
          </w:tcPr>
          <w:p>
            <w:pPr>
              <w:jc w:val="both"/>
            </w:pPr>
            <w:r>
              <w:rPr>
                <w:rFonts w:ascii="Times New Roman" w:hAnsi="Times New Roman"/>
                <w:sz w:val="18"/>
              </w:rPr>
              <w:t>Triệu chứng lo âu 50,3%</w:t>
            </w:r>
          </w:p>
        </w:tc>
      </w:tr>
      <w:tr>
        <w:tc>
          <w:tcPr>
            <w:tcW w:w="567" w:type="dxa"/>
          </w:tcPr>
          <w:p>
            <w:pPr>
              <w:jc w:val="both"/>
            </w:pPr>
            <w:r>
              <w:rPr>
                <w:rFonts w:ascii="Times New Roman" w:hAnsi="Times New Roman"/>
                <w:sz w:val="18"/>
              </w:rPr>
              <w:t>21</w:t>
            </w:r>
          </w:p>
        </w:tc>
        <w:tc>
          <w:tcPr>
            <w:tcW w:w="1587" w:type="dxa"/>
          </w:tcPr>
          <w:p>
            <w:pPr>
              <w:jc w:val="both"/>
            </w:pPr>
            <w:r>
              <w:rPr>
                <w:rFonts w:ascii="Times New Roman" w:hAnsi="Times New Roman"/>
                <w:sz w:val="18"/>
              </w:rPr>
              <w:t>Viện Xã hội học &amp; cs (2022)</w:t>
            </w:r>
          </w:p>
        </w:tc>
        <w:tc>
          <w:tcPr>
            <w:tcW w:w="1360" w:type="dxa"/>
          </w:tcPr>
          <w:p>
            <w:pPr>
              <w:jc w:val="both"/>
            </w:pPr>
            <w:r>
              <w:rPr>
                <w:rFonts w:ascii="Times New Roman" w:hAnsi="Times New Roman"/>
                <w:sz w:val="18"/>
              </w:rPr>
              <w:t>Bối cảnh quốc gia</w:t>
            </w:r>
          </w:p>
        </w:tc>
        <w:tc>
          <w:tcPr>
            <w:tcW w:w="1360" w:type="dxa"/>
          </w:tcPr>
          <w:p>
            <w:pPr>
              <w:jc w:val="both"/>
            </w:pPr>
            <w:r>
              <w:rPr>
                <w:rFonts w:ascii="Times New Roman" w:hAnsi="Times New Roman"/>
                <w:sz w:val="18"/>
              </w:rPr>
              <w:t>Điều tra hộ gia đình</w:t>
            </w:r>
          </w:p>
        </w:tc>
        <w:tc>
          <w:tcPr>
            <w:tcW w:w="1417" w:type="dxa"/>
          </w:tcPr>
          <w:p>
            <w:pPr>
              <w:jc w:val="both"/>
            </w:pPr>
            <w:r>
              <w:rPr>
                <w:rFonts w:ascii="Times New Roman" w:hAnsi="Times New Roman"/>
                <w:sz w:val="18"/>
              </w:rPr>
              <w:t>5.996 cặp PH-VTN 10-17</w:t>
            </w:r>
          </w:p>
        </w:tc>
        <w:tc>
          <w:tcPr>
            <w:tcW w:w="2494" w:type="dxa"/>
          </w:tcPr>
          <w:p>
            <w:pPr>
              <w:jc w:val="both"/>
            </w:pPr>
            <w:r>
              <w:rPr>
                <w:rFonts w:ascii="Times New Roman" w:hAnsi="Times New Roman"/>
                <w:sz w:val="18"/>
              </w:rPr>
              <w:t>Lo âu DSM-5: 2,3%; ≥1 vấn đề SKTT: 21,7%</w:t>
            </w:r>
          </w:p>
        </w:tc>
      </w:tr>
    </w:tbl>
    <w:p>
      <w:pPr>
        <w:pStyle w:val="Heading1"/>
      </w:pPr>
      <w:r>
        <w:rPr>
          <w:rFonts w:ascii="Times New Roman" w:hAnsi="Times New Roman"/>
          <w:color w:val="000000"/>
        </w:rPr>
        <w:t>4. Kết quả nghiên cứu</w:t>
      </w:r>
    </w:p>
    <w:p>
      <w:pPr>
        <w:pStyle w:val="Heading2"/>
      </w:pPr>
      <w:r>
        <w:rPr>
          <w:rFonts w:ascii="Times New Roman" w:hAnsi="Times New Roman"/>
          <w:color w:val="000000"/>
        </w:rPr>
        <w:t>4.1. Áp lực học tập</w:t>
      </w:r>
    </w:p>
    <w:p>
      <w:pPr>
        <w:ind w:firstLine="567"/>
        <w:jc w:val="both"/>
      </w:pPr>
      <w:r>
        <w:rPr>
          <w:rFonts w:ascii="Times New Roman" w:hAnsi="Times New Roman"/>
          <w:b w:val="0"/>
          <w:i w:val="0"/>
          <w:sz w:val="26"/>
        </w:rPr>
        <w:t>Áp lực học tập từ lâu được xếp vào trục yếu tố nguy cơ trung tâm đối với rối loạn lo âu ở học sinh phổ thông. Tổng quan của Pascoe và cộng sự (2020) về tác động của căng thẳng học đường cho thấy áp lực học tập có liên hệ với suy giảm kết quả học tập, rối loạn giấc ngủ và gia tăng triệu chứng lo âu – trầm cảm ở học sinh trung học và sinh viên. Áp lực học tập không phải là một biến đơn nhất mà là tổ hợp của nhiều thành phần — khối lượng bài tập, kỳ vọng về kết quả thi, lo âu thi cử, cạnh tranh điểm số, và kỳ vọng từ giáo viên cũng như phụ huynh; do đó hiệu ứng tích lũy của áp lực học tập trên sức khỏe tâm thần có thể bị đánh giá thấp khi chỉ đo bằng một câu hỏi tự đánh giá đơn lẻ. Phân tách áp lực học tập thành các thành phần — kỳ vọng nhận thức, áp lực thi cử, cạnh tranh — sẽ giúp các nghiên cứu trong nước phát hiện thành phần nào tác động mạnh nhất trên lo âu của HSTHCS Việt Nam.</w:t>
      </w:r>
    </w:p>
    <w:p>
      <w:pPr>
        <w:ind w:firstLine="567"/>
        <w:jc w:val="both"/>
      </w:pPr>
      <w:r>
        <w:rPr>
          <w:rFonts w:ascii="Times New Roman" w:hAnsi="Times New Roman"/>
          <w:b w:val="0"/>
          <w:i w:val="0"/>
          <w:sz w:val="26"/>
        </w:rPr>
        <w:t>Tổng quan hệ thống của Jagiello và cộng sự (2025) đã rà soát 31 nghiên cứu can thiệp áp lực học tập ở học sinh trung học tại 13 quốc gia và xác nhận rằng áp lực học tập là một mục tiêu can thiệp khả thi khi triển khai trong môi trường trường học, trong đó các chương trình dựa trên liệu pháp nhận thức – hành vi cho bằng chứng hiệu quả mạnh nhất. Điều này cho thấy áp lực học tập không chỉ là một yếu tố nguy cơ có thể đo lường mà còn là một điểm tác động thực tế cho các chương trình dự phòng tại trường. Tuy nhiên, các bài can thiệp trong tổng quan của Jagiello chủ yếu được thực hiện ở các nước thu nhập cao, nơi nguồn lực và tỷ lệ chuyên gia tâm lý học đường khác xa Việt Nam; vì vậy việc bản địa hóa các chương trình này cần được thực hiện thận trọng.</w:t>
      </w:r>
    </w:p>
    <w:p>
      <w:pPr>
        <w:ind w:firstLine="567"/>
        <w:jc w:val="both"/>
      </w:pPr>
      <w:r>
        <w:rPr>
          <w:rFonts w:ascii="Times New Roman" w:hAnsi="Times New Roman"/>
          <w:b w:val="0"/>
          <w:i w:val="0"/>
          <w:sz w:val="26"/>
        </w:rPr>
        <w:t>Bối cảnh Á Đông cung cấp thêm bằng chứng có giá trị tham chiếu. Khảo sát quy mô lớn cấp tỉnh của Xu và cộng sự (2021) trên 373.216 học sinh trung học tại Hà Nam, Trung Quốc, trong giai đoạn đỉnh đại dịch COVID-19 không chỉ báo cáo tỷ lệ lo âu chung 9,89% mà còn cho thấy bậc trung học cơ sở (10,85% theo Bảng 1 của bài báo, tính từ 26.490/244.193) có tỷ lệ cao hơn bậc trung học phổ thông (8,08% từ 10.428/129.023) — một mẫu hình ngược với giả định phổ biến rằng áp lực thi cử lên đến đỉnh ở năm cuối THPT. Nghiên cứu của Chen và cộng sự (2023) trên 63.205 học sinh trung học Trung Quốc ghi nhận tỷ lệ triệu chứng lo âu 13,9% và nhấn mạnh sự đồng hiện diện của triệu chứng lo âu và trầm cảm — gợi ý rằng các nghiên cứu chỉ đo một trong hai sẽ bỏ sót gánh nặng kép tâm thần ở nhóm tuổi này.</w:t>
      </w:r>
    </w:p>
    <w:p>
      <w:pPr>
        <w:jc w:val="center"/>
      </w:pPr>
      <w:r>
        <w:drawing>
          <wp:inline xmlns:a="http://schemas.openxmlformats.org/drawingml/2006/main" xmlns:pic="http://schemas.openxmlformats.org/drawingml/2006/picture">
            <wp:extent cx="5220000" cy="2572868"/>
            <wp:docPr id="2" name="Picture 2"/>
            <wp:cNvGraphicFramePr>
              <a:graphicFrameLocks noChangeAspect="1"/>
            </wp:cNvGraphicFramePr>
            <a:graphic>
              <a:graphicData uri="http://schemas.openxmlformats.org/drawingml/2006/picture">
                <pic:pic>
                  <pic:nvPicPr>
                    <pic:cNvPr id="0" name="chart2_intl_prevalence.png"/>
                    <pic:cNvPicPr/>
                  </pic:nvPicPr>
                  <pic:blipFill>
                    <a:blip r:embed="rId10"/>
                    <a:stretch>
                      <a:fillRect/>
                    </a:stretch>
                  </pic:blipFill>
                  <pic:spPr>
                    <a:xfrm>
                      <a:off x="0" y="0"/>
                      <a:ext cx="5220000" cy="2572868"/>
                    </a:xfrm>
                    <a:prstGeom prst="rect"/>
                  </pic:spPr>
                </pic:pic>
              </a:graphicData>
            </a:graphic>
          </wp:inline>
        </w:drawing>
      </w:r>
    </w:p>
    <w:p>
      <w:pPr>
        <w:jc w:val="center"/>
      </w:pPr>
      <w:r>
        <w:rPr>
          <w:rFonts w:ascii="Times New Roman" w:hAnsi="Times New Roman"/>
          <w:i/>
          <w:sz w:val="22"/>
        </w:rPr>
        <w:t>Biểu đồ 2. Tỷ lệ triệu chứng lo âu ở học sinh trung học Trung Quốc theo cấp học và khu vực (Xu và cộng sự, 2021) và mẫu chung (Chen và cộng sự, 2023). Mẫu hình "THCS cao hơn THPT" và "nông thôn cao hơn đô thị" là chỉ báo quan trọng khi thiết kế các nghiên cứu so sánh tại Việt Nam.</w:t>
      </w:r>
    </w:p>
    <w:p>
      <w:pPr>
        <w:ind w:firstLine="567"/>
        <w:jc w:val="both"/>
      </w:pPr>
      <w:r>
        <w:rPr>
          <w:rFonts w:ascii="Times New Roman" w:hAnsi="Times New Roman"/>
          <w:b w:val="0"/>
          <w:i w:val="0"/>
          <w:sz w:val="26"/>
        </w:rPr>
        <w:t>Tại Việt Nam, công trình của Đinh Thị Hồng Vân và cộng sự (2021) trên 749 học sinh trung học cơ sở tại Hà Nội và Thành phố Hồ Chí Minh cho thấy điểm số và thi cử là yếu tố gây lo âu được ghi nhận ở 91,1% học sinh — cao nhất trong sáu nhóm yếu tố trường học được khảo sát. Đây là một con số đáng chú ý vì nó cho biết phần lớn HSTHCS ở hai đô thị lớn nhất cả nước nhận diện rõ áp lực học tập là nguồn lo âu, trong khi các yếu tố khác (quan hệ bạn bè, quan hệ với giáo viên, môi trường lớp học) có tỷ lệ thấp hơn nhiều. Trần Thị Mỵ Lương (2020) trên 540 học sinh trung học phổ thông chuyên với thang DASS-42 ghi nhận tỷ lệ lo âu 14,2%, trong đó học sinh khối 11 chiếm tỷ lệ cao nhất (48,1% trong số ca lo âu), được lý giải bằng áp lực đa chiều của giai đoạn chuyển tiếp này. Mặc dù mẫu thuộc bậc THPT, thông tin về biến thiên theo khối lớp là cơ sở để dự đoán rằng các thời điểm chuyển cấp tương tự ở HSTHCS — đặc biệt cuối lớp 9 — cũng có thể có đỉnh áp lực tương ứng.</w:t>
      </w:r>
    </w:p>
    <w:p>
      <w:pPr>
        <w:ind w:firstLine="567"/>
        <w:jc w:val="both"/>
      </w:pPr>
      <w:r>
        <w:rPr>
          <w:rFonts w:ascii="Times New Roman" w:hAnsi="Times New Roman"/>
          <w:b w:val="0"/>
          <w:i w:val="0"/>
          <w:sz w:val="26"/>
        </w:rPr>
        <w:t>Khảo sát 3.910 học sinh trung học phổ thông Hà Nội của Phạm Thị Thu Hoa và cộng sự (2024) bằng thang GAD-7 ghi nhận 40,6% học sinh có nguy cơ lo âu, trong đó học tập được xác định là yếu tố liên quan hàng đầu. Khảo sát 976 học sinh trung học phổ thông Thành phố Hồ Chí Minh của Trần Hồ Vĩnh Lộc và cộng sự (2024) bằng thang DASS-Y kết luận áp lực học tập là yếu tố nguy cơ mạnh đối với lo âu, với tỷ số tỷ lệ hiện mắc hiệu chỉnh đạt 2,82 ở nhóm chịu áp lực học tập mức nặng so với nhóm nhẹ — một hiệu ứng đáng kể về mặt lâm sàng. Mặc dù phần lớn dữ liệu Việt Nam thuộc bậc trung học phổ thông, hướng của hiệu ứng nhất quán với bằng chứng quốc tế và gợi ý áp lực học tập là yếu tố nguy cơ ổn định xuyên cấp học. Ba nghiên cứu Việt Nam đo lo âu bằng các thang chuẩn hóa khác nhau (Trần Thị Mỵ Lương sử dụng DASS-42, Phạm Thị Thu Hoa sử dụng GAD-7, Trần Hồ Vĩnh Lộc sử dụng DASS-Y), điều này vừa làm tăng tính khả tin chung khi các hướng tác động đồng quy về một kết luận, vừa tạo ra khó khăn khi so sánh ngưỡng tỷ lệ giữa các nghiên cứu; riêng nghiên cứu của Đinh Thị Hồng Vân và cộng sự (2021) sử dụng bộ câu hỏi đo các nguồn gây lo âu trường học nên chỉ có thể đối chiếu hướng của hiệu ứng chứ không trực tiếp so sánh ngưỡng tỷ lệ.</w:t>
      </w:r>
    </w:p>
    <w:p>
      <w:pPr>
        <w:ind w:firstLine="567"/>
        <w:jc w:val="both"/>
      </w:pPr>
      <w:r>
        <w:rPr>
          <w:rFonts w:ascii="Times New Roman" w:hAnsi="Times New Roman"/>
          <w:b w:val="0"/>
          <w:i w:val="0"/>
          <w:sz w:val="26"/>
        </w:rPr>
        <w:t>Sự dịch chuyển môn học từ tiểu học lên trung học cơ sở — đặc biệt là sự xuất hiện đột ngột của nhiều môn chuyên sâu, hệ thống đánh giá đa môn và việc chuyển đổi giáo viên — về mặt lý thuyết cũng là một nguồn áp lực đáng kể đối với học sinh; các giai đoạn chuyển cấp thường được xem là thời điểm cao của triệu chứng lo âu học đường. Ngoài chuyển cấp tiểu học – THCS, lứa tuổi này còn trùng với khởi đầu dậy thì, làm gia tăng biến thiên về khí chất, hình thể và quan hệ xã hội — các yếu tố vừa độc lập vừa cộng dồn với áp lực học tập. Mặc dù dữ liệu Việt Nam phần lớn mang tính cắt ngang, hướng của hiệu ứng nhất quán với bằng chứng quốc tế và đủ căn cứ để định vị áp lực học tập là yếu tố nguy cơ trung tâm cần ưu tiên trong các nghiên cứu can thiệp tiếp theo.</w:t>
      </w:r>
    </w:p>
    <w:p>
      <w:pPr>
        <w:ind w:firstLine="567"/>
        <w:jc w:val="both"/>
      </w:pPr>
      <w:r>
        <w:rPr>
          <w:rFonts w:ascii="Times New Roman" w:hAnsi="Times New Roman"/>
          <w:b w:val="0"/>
          <w:i w:val="0"/>
          <w:sz w:val="26"/>
        </w:rPr>
        <w:t>Trên phương diện cơ chế, áp lực học tập kéo dài tác động lên lo âu qua ít nhất bốn đường dẫn song song. Đường dẫn sinh học gồm kích hoạt mạn tính hệ trục hạ đồi – tuyến yên – thượng thận, làm rối loạn nhịp tiết cortisol và giảm chất lượng giấc ngủ; mất ngủ kéo dài lại làm giảm khả năng điều tiết cảm xúc ngày hôm sau, tạo vòng xoáy âm tính. Đường dẫn nhận thức gồm xu hướng diễn giải tiêu cực các tín hiệu kết quả học tập, phóng đại ý nghĩa của một lần thi không đạt và khái quát hóa thất bại sang đánh giá tổng thể về bản thân. Đường dẫn hành vi gồm né tránh các tình huống đánh giá học thuật và giảm tham gia hoạt động ngoài giờ, làm thu hẹp nguồn hỗ trợ xã hội. Đường dẫn quan hệ gồm xung đột với cha mẹ về kỳ vọng học tập, gây mất hỗ trợ tình cảm ở thời điểm học sinh cần nhất. Bốn đường dẫn này thường đồng tồn tại, nên các thiết kế đo lường tương lai nên tích hợp chỉ số sinh học (giấc ngủ, cortisol nếu khả thi), chỉ số nhận thức – cảm xúc (thang lo âu thi cử, kiểm tra tự nhận thức) và chỉ số quan hệ (chất lượng quan hệ với cha mẹ) thay vì chỉ đo một mặt.</w:t>
      </w:r>
    </w:p>
    <w:p>
      <w:pPr>
        <w:ind w:firstLine="567"/>
        <w:jc w:val="both"/>
      </w:pPr>
      <w:r>
        <w:rPr>
          <w:rFonts w:ascii="Times New Roman" w:hAnsi="Times New Roman"/>
          <w:b w:val="0"/>
          <w:i w:val="0"/>
          <w:sz w:val="26"/>
        </w:rPr>
        <w:t>Bên cạnh các đường dẫn cá nhân – nhận thức, áp lực học tập tại Việt Nam có một đặc thù văn hóa cần được nêu rõ: trục kỳ vọng gia đình. Quan niệm về thành tích học tập như thước đo trách nhiệm hiếu thảo và thước đo địa vị xã hội của gia đình làm cho áp lực học tập của HSTHCS không chỉ là yêu cầu nội tại của nhà trường mà còn là sự cộng hưởng liên tục giữa kỳ vọng cha mẹ, so sánh giữa các gia đình trong cộng đồng và lo lắng về chuyển cấp THCS → THPT. Đặc thù này gần với một số nền văn hóa Đông Á (Trung Quốc, Hàn Quốc, Nhật Bản) nhưng có sắc thái riêng tại Việt Nam: tỷ trọng giữa kỳ vọng học vấn và đầu tư kinh tế gia đình thường cao hơn so với một số quốc gia thu nhập trung bình khác, và sự khác biệt giữa khu vực đô thị – nông thôn về tài nguyên hỗ trợ học tập (gia sư, học thêm, học liệu số) làm cho hiệu ứng áp lực phụ thuộc mạnh vào bối cảnh xã hội học của học sinh.</w:t>
      </w:r>
    </w:p>
    <w:p>
      <w:pPr>
        <w:ind w:firstLine="567"/>
        <w:jc w:val="both"/>
      </w:pPr>
      <w:r>
        <w:rPr>
          <w:rFonts w:ascii="Times New Roman" w:hAnsi="Times New Roman"/>
          <w:b w:val="0"/>
          <w:i w:val="0"/>
          <w:sz w:val="26"/>
        </w:rPr>
        <w:t>Một phương diện ít được khảo sát ở Việt Nam là tương tác giữa áp lực học tập và giới tính. Bằng chứng quốc tế gợi ý nữ HSTHCS có xu hướng nội tâm hóa áp lực thành lo âu và trầm cảm ở mức cao hơn, trong khi nam HSTHCS thường biểu hiện qua hành vi né tránh hoặc rối loạn hành vi — sự khác biệt này phần lớn do mô thức xã hội hóa cảm xúc theo giới. Áp dụng cho Việt Nam, dự đoán hợp lý là nữ HSTHCS chịu cùng mức áp lực học tập sẽ báo cáo triệu chứng lo âu cao hơn nam, nhưng dữ liệu phân tầng giới còn rời rạc. Các nghiên cứu tương lai cần phân tích phân tầng giới ngay từ giai đoạn thiết kế thay vì gộp chung, đồng thời nên xem xét tương tác giữa giới và mức độ áp lực thay vì chỉ so sánh hiệu ứng chính.</w:t>
      </w:r>
    </w:p>
    <w:p>
      <w:pPr>
        <w:ind w:firstLine="567"/>
        <w:jc w:val="both"/>
      </w:pPr>
      <w:r>
        <w:rPr>
          <w:rFonts w:ascii="Times New Roman" w:hAnsi="Times New Roman"/>
          <w:b w:val="0"/>
          <w:i w:val="0"/>
          <w:sz w:val="26"/>
        </w:rPr>
        <w:t>Tổng kết về áp lực học tập: đây là yếu tố nguy cơ trung tâm có bằng chứng nhất quán xuyên các thiết kế và các quốc gia. Khoảng trống chính trong nghiên cứu Việt Nam là (i) thiếu thang đo áp lực học tập chuẩn hóa cho HSTHCS — ESSA tiếng Việt đã được dịch nhưng chưa kiểm định đầy đủ trên mẫu HSTHCS cấp quốc gia; (ii) thiếu các nghiên cứu dọc theo dõi quỹ đạo áp lực qua các thời điểm thi quan trọng (cuối học kỳ, cuối lớp 9 thi vào THPT); (iii) thiếu phân tách thành phần — kỳ vọng nhận thức, áp lực thi cử, cạnh tranh xã hội — để xác định thành phần nào có tác động mạnh nhất; (iv) thiếu phân tầng giới và phân tích tương tác giới × áp lực; (v) thiếu phân tách thành phần kỳ vọng gia đình so với kỳ vọng nhà trường, vốn có thể có cơ chế đường dẫn khác nhau.</w:t>
      </w:r>
    </w:p>
    <w:p>
      <w:pPr>
        <w:pStyle w:val="Heading2"/>
      </w:pPr>
      <w:r>
        <w:rPr>
          <w:rFonts w:ascii="Times New Roman" w:hAnsi="Times New Roman"/>
          <w:color w:val="000000"/>
        </w:rPr>
        <w:t>4.2. Nghiện điện thoại thông minh và mạng xã hội</w:t>
      </w:r>
    </w:p>
    <w:p>
      <w:pPr>
        <w:ind w:firstLine="567"/>
        <w:jc w:val="both"/>
      </w:pPr>
      <w:r>
        <w:rPr>
          <w:rFonts w:ascii="Times New Roman" w:hAnsi="Times New Roman"/>
          <w:b w:val="0"/>
          <w:i w:val="0"/>
          <w:sz w:val="26"/>
        </w:rPr>
        <w:t>Khái niệm nghiện điện thoại thông minh chưa phải là một chẩn đoán chính thức trong DSM-5 hay Phân loại Bệnh tật Quốc tế phiên bản thứ 11 (ICD-11; Tổ chức Y tế Thế giới, 2019), nhưng các nhà nghiên cứu thường phân biệt ba mức: sử dụng kéo dài, sử dụng có vấn đề, và mô thức có biểu hiện hành vi giống nghiện. Đối với HSTHCS, ranh giới giữa các mức này quan trọng cho cả nghiên cứu lẫn can thiệp: chỉ sử dụng kéo dài hơn trung bình không đủ để kết luận có hại; cần đo lường thêm các dấu hiệu rối loạn — mất kiểm soát, ưu tiên thiết bị hơn các hoạt động bình thường, biểu hiện cai nghiện khi tách khỏi thiết bị, ảnh hưởng đến học tập và quan hệ. Hiện chưa có một thang đo chuẩn hóa duy nhất; các nghiên cứu quốc tế thường sử dụng phiên bản rút gọn của Smartphone Addiction Scale, Internet Gaming Disorder Scale hoặc các công cụ tự phát triển — gây khó khăn cho so sánh chéo.</w:t>
      </w:r>
    </w:p>
    <w:p>
      <w:pPr>
        <w:ind w:firstLine="567"/>
        <w:jc w:val="both"/>
      </w:pPr>
      <w:r>
        <w:rPr>
          <w:rFonts w:ascii="Times New Roman" w:hAnsi="Times New Roman"/>
          <w:b w:val="0"/>
          <w:i w:val="0"/>
          <w:sz w:val="26"/>
        </w:rPr>
        <w:t>Nghiên cứu đại diện quốc gia của Vương quốc Anh do Fassi và cộng sự (2025) thực hiện trên 3.340 vị thành niên 11–19 tuổi có đánh giá chẩn đoán lâm sàng cho thấy nhóm có rối loạn sức khỏe tâm thần được chẩn đoán dành nhiều thời gian sử dụng mạng xã hội hơn nhóm không có rối loạn, với chênh lệch ở mức trung bình (Hedges g = 0,46); riêng nhóm có rối loạn dạng hướng nội — bao gồm lo âu — đạt mức chênh cao hơn (g = 0,62). Điểm mạnh đặc biệt của thiết kế này so với các nghiên cứu chỉ dựa trên sàng lọc tự báo cáo là việc tách rõ nhóm có rối loạn được chẩn đoán lâm sàng so với nhóm chứng, qua đó giảm thiên lệch tự lựa chọn. Mức hiệu ứng trung bình – cao ở phân nhóm hướng nội (lo âu và trầm cảm) củng cố giả thuyết rằng mối liên hệ giữa sử dụng mạng xã hội và lo âu không chỉ là tương quan chung mà tập trung mạnh ở các rối loạn cảm xúc nội tâm.</w:t>
      </w:r>
    </w:p>
    <w:p>
      <w:pPr>
        <w:ind w:firstLine="567"/>
        <w:jc w:val="both"/>
      </w:pPr>
      <w:r>
        <w:rPr>
          <w:rFonts w:ascii="Times New Roman" w:hAnsi="Times New Roman"/>
          <w:b w:val="0"/>
          <w:i w:val="0"/>
          <w:sz w:val="26"/>
        </w:rPr>
        <w:t>Brunborg và cộng sự (2025) công bố trên Social Science &amp; Medicine phân tích 979.043 vị thành niên Na Uy từ 1.417 khảo sát cấp thành phố giai đoạn 2011–2024 bằng phương pháp decomposition. Phân tích này đặc biệt giá trị vì hai lý do: quy mô gần một triệu cá nhân cho phép phát hiện cả những hiệu ứng nhỏ, và thiết kế chuỗi thời gian cho phép quy chiếu xu hướng tăng căng thẳng tâm thần ở vị thành niên Na Uy về các yếu tố giải thích có thể đo lường được. Trong các nhóm yếu tố đưa vào mô hình decomposition, mức không hài lòng với trường học nổi lên như yếu tố có đóng góp giải thích lớn nhất, trong khi sử dụng mạng xã hội xuất hiện như một trong các yếu tố giải thích bổ sung — không phải nguyên nhân toàn bộ và không phải mạnh nhất, nhưng đủ lớn để hỗ trợ luận điểm rằng mạng xã hội là một yếu tố nguy cơ mới cần được tích hợp vào khung dịch tễ vị thành niên ở các quốc gia có tỷ lệ phổ cập smartphone cao. Hệ quả phương pháp luận trực tiếp đối với Việt Nam là khi thiết kế các nghiên cứu giải thích xu hướng tăng lo âu, cần đặt mạng xã hội trong cùng mô hình với các yếu tố trường học và gia đình thay vì đo độc lập.</w:t>
      </w:r>
    </w:p>
    <w:p>
      <w:pPr>
        <w:ind w:firstLine="567"/>
        <w:jc w:val="both"/>
      </w:pPr>
      <w:r>
        <w:rPr>
          <w:rFonts w:ascii="Times New Roman" w:hAnsi="Times New Roman"/>
          <w:b w:val="0"/>
          <w:i w:val="0"/>
          <w:sz w:val="26"/>
        </w:rPr>
        <w:t>Tại Việt Nam, khảo sát của Hoàng Trung Học và Nguyễn Thùy Dung (2025) trên mẫu phân tích 8.389 học sinh khối 6–12 (8.473 học sinh được tuyển chọn ban đầu, 8.389 đưa vào phân tích sau khi loại bỏ dữ liệu không đầy đủ) xác định việc sử dụng thiết bị điện tử kéo dài là một trong các yếu tố liên hệ thuận với mức độ lo âu, được ghi nhận cả trong và sau đại dịch COVID-19. Mẫu này có quy mô lớn và phủ sáu tỉnh, nhưng đo lường sử dụng thiết bị chỉ ở mức thời lượng (giờ/ngày) chứ chưa dùng thang nghiện chuẩn hóa, do đó không thể phân biệt sử dụng kéo dài vô hại với sử dụng có biểu hiện rối loạn hành vi. Các nghiên cứu Việt Nam đo lường trực tiếp nghiện điện thoại thông minh bằng công cụ chuẩn hóa trên học sinh trung học cơ sở vẫn còn rất hạn chế — đây là một khoảng trống cần được lấp đầy. Bằng chứng quốc tế hiện có đã đủ để xếp nghiện điện thoại thông minh vào nhóm yếu tố nguy cơ trọng yếu cần được ưu tiên khảo sát trong bối cảnh Việt Nam, đặc biệt khi tỷ lệ sở hữu smartphone ở HSTHCS đô thị đã tiệm cận bão hòa.</w:t>
      </w:r>
    </w:p>
    <w:p>
      <w:pPr>
        <w:ind w:firstLine="567"/>
        <w:jc w:val="both"/>
      </w:pPr>
      <w:r>
        <w:rPr>
          <w:rFonts w:ascii="Times New Roman" w:hAnsi="Times New Roman"/>
          <w:b w:val="0"/>
          <w:i w:val="0"/>
          <w:sz w:val="26"/>
        </w:rPr>
        <w:t>Mặc dù chưa có nghiên cứu dọc quy mô lớn tại Việt Nam đánh giá quan hệ nhân – quả, các bằng chứng cắt ngang đã đủ thuyết phục để xếp nghiện điện thoại thông minh vào nhóm yếu tố nguy cơ trọng yếu. Cơ chế đề xuất gồm thay thế giấc ngủ — khi học sinh dùng điện thoại đến khuya, thời lượng và chất lượng ngủ giảm, làm suy yếu năng lực điều tiết cảm xúc ngày hôm sau; kích thích so sánh xã hội qua hình ảnh — nội dung được lọc và biên tập trên mạng xã hội tạo ra chuẩn so sánh phi thực tế về ngoại hình, thành tích và đời sống, làm gia tăng tự đánh giá tiêu cực; làm gián đoạn củng cố trí nhớ học tập — thông báo và nội dung kích động xen kẽ làm phân tán chú ý trong giờ tự học; và gia tăng phơi nhiễm nội dung gây kích động — bao gồm tin tức tiêu cực, nội dung bạo lực và các trào lưu so sánh có hại — qua đó nhân lên ảnh hưởng của áp lực học tập đã trình bày ở mục trước. Các cơ chế này không loại trừ nhau mà thường đồng tồn tại, nên hiệu ứng tổng trên lo âu có thể lớn hơn tổng các hiệu ứng đơn lẻ.</w:t>
      </w:r>
    </w:p>
    <w:p>
      <w:pPr>
        <w:ind w:firstLine="567"/>
        <w:jc w:val="both"/>
      </w:pPr>
      <w:r>
        <w:rPr>
          <w:rFonts w:ascii="Times New Roman" w:hAnsi="Times New Roman"/>
          <w:b w:val="0"/>
          <w:i w:val="0"/>
          <w:sz w:val="26"/>
        </w:rPr>
        <w:t>Một đặc thù quan trọng của bối cảnh Việt Nam là sự lệch pha giữa tiếp cận thiết bị và giáo dục số. Trong khi tỷ lệ sở hữu smartphone ở HSTHCS đô thị tăng nhanh, các chương trình giáo dục an toàn số và năng lực truyền thông trong nhà trường còn chưa được tích hợp đầy đủ vào chương trình chính khóa. Hệ quả là nhiều học sinh tiếp xúc sớm với mạng xã hội mà chưa có kỹ năng phê phán nguồn thông tin, quản lý thời gian màn hình hay nhận diện các hành vi gây hại trên không gian số. Khoảng trống năng lực này không phải là một yếu tố nguy cơ độc lập, nhưng là một biến điều biến quan trọng — làm tăng độ nhạy của HSTHCS Việt Nam trước cùng một mức độ phơi nhiễm so với HSTHCS các nước có giáo dục số được triển khai sớm hơn.</w:t>
      </w:r>
    </w:p>
    <w:p>
      <w:pPr>
        <w:ind w:firstLine="567"/>
        <w:jc w:val="both"/>
      </w:pPr>
      <w:r>
        <w:rPr>
          <w:rFonts w:ascii="Times New Roman" w:hAnsi="Times New Roman"/>
          <w:b w:val="0"/>
          <w:i w:val="0"/>
          <w:sz w:val="26"/>
        </w:rPr>
        <w:t>Một phân biệt quan trọng thường bị bỏ qua trong các khảo sát là sự khác nhau giữa loại nội dung sử dụng. Cùng một thời lượng hai giờ/ngày, học sinh sử dụng mạng xã hội để duy trì kết nối với bạn bè thân quen có quỹ đạo lo âu khác hẳn so với học sinh dành phần lớn thời gian xem nội dung so sánh xã hội (hình ảnh đời sống, thành tích, hình thể) hoặc tiếp xúc với các trào lưu nội dung gây kích động cảm xúc. Bằng chứng từ một số nghiên cứu quốc tế cho thấy loại nội dung — chứ không phải thuần túy thời lượng — là biến giải thích chính cho mối liên hệ giữa sử dụng mạng xã hội và lo âu nội tâm. Hệ quả thiết kế là các khảo sát Việt Nam tương lai cần thu thập đồng thời thời lượng, loại ứng dụng chủ yếu và đặc trưng nội dung tiêu thụ; chỉ đo giờ/ngày là không đủ.</w:t>
      </w:r>
    </w:p>
    <w:p>
      <w:pPr>
        <w:ind w:firstLine="567"/>
        <w:jc w:val="both"/>
      </w:pPr>
      <w:r>
        <w:rPr>
          <w:rFonts w:ascii="Times New Roman" w:hAnsi="Times New Roman"/>
          <w:b w:val="0"/>
          <w:i w:val="0"/>
          <w:sz w:val="26"/>
        </w:rPr>
        <w:t>Bối cảnh nền tảng số tại Việt Nam có một đặc thù đáng nêu: tỷ trọng cao của các nền tảng video ngắn (TikTok, Reels, YouTube Shorts) trong tổng thời gian sử dụng của HSTHCS đô thị. Cấu trúc thuật toán của các nền tảng này — đề xuất nội dung liên tục theo phản hồi vi mô của người dùng — có thể duy trì trạng thái kích thích thần kinh kéo dài và làm giảm khả năng tự ngắt phiên sử dụng. Đối với HSTHCS, khi khả năng tự điều tiết hành vi còn đang trong quá trình phát triển, đây có thể là một cơ chế khuếch đại đặc thù mà các nghiên cứu hiện có ở Việt Nam chưa phân tích đầy đủ. Khoảng trống này gợi ý các nghiên cứu cắt ngang quy mô lớn nên bổ sung câu hỏi về phân bố thời gian giữa các loại nền tảng để có cơ sở so sánh.</w:t>
      </w:r>
    </w:p>
    <w:p>
      <w:pPr>
        <w:ind w:firstLine="567"/>
        <w:jc w:val="both"/>
      </w:pPr>
      <w:r>
        <w:rPr>
          <w:rFonts w:ascii="Times New Roman" w:hAnsi="Times New Roman"/>
          <w:b w:val="0"/>
          <w:i w:val="0"/>
          <w:sz w:val="26"/>
        </w:rPr>
        <w:t>Tổng kết về nghiện điện thoại thông minh và mạng xã hội: đây là yếu tố nguy cơ có bằng chứng quốc tế mạnh nhưng bằng chứng nội địa còn thưa và còn hạn chế ở thang đo. Các khoảng trống chính là (i) cần một thang đo nghiện smartphone tiếng Việt được kiểm định trên HSTHCS; (ii) cần nghiên cứu dọc theo dõi quỹ đạo sử dụng và lo âu qua một số điểm thời gian; (iii) cần phân tách thời lượng sử dụng và nội dung sử dụng — vì cùng thời lượng nhưng nội dung khác nhau có thể tác động khác nhau lên lo âu; (iv) cần đo phân bố thời gian theo loại nền tảng — đặc biệt video ngắn — để nắm bắt cơ chế khuếch đại thuật toán đặc thù với lứa tuổi này.</w:t>
      </w:r>
    </w:p>
    <w:p>
      <w:pPr>
        <w:pStyle w:val="Heading2"/>
      </w:pPr>
      <w:r>
        <w:rPr>
          <w:rFonts w:ascii="Times New Roman" w:hAnsi="Times New Roman"/>
          <w:color w:val="000000"/>
        </w:rPr>
        <w:t>4.3. Bắt nạt thể chất</w:t>
      </w:r>
    </w:p>
    <w:p>
      <w:pPr>
        <w:ind w:firstLine="567"/>
        <w:jc w:val="both"/>
      </w:pPr>
      <w:r>
        <w:rPr>
          <w:rFonts w:ascii="Times New Roman" w:hAnsi="Times New Roman"/>
          <w:b w:val="0"/>
          <w:i w:val="0"/>
          <w:sz w:val="26"/>
        </w:rPr>
        <w:t>Phân tích tổng hợp của Moore và cộng sự (2017) công bố trên World Journal of Psychiatry tổng hợp 165 nghiên cứu (57 thuần tập tiến cứu và 108 cắt ngang) với đánh giá theo tiêu chí Bradford Hill báo cáo tỷ số chênh OR cho lo âu ở nhóm nạn nhân bắt nạt là 1,77 (khoảng tin cậy 95% từ 1,34 đến 2,33). Bên cạnh con số này, Moore và cộng sự dẫn lại các nghiên cứu trước cho thấy nhóm vừa là nạn nhân vừa là thủ phạm có nguy cơ tâm thần cao hơn nhóm chỉ là nạn nhân; tuy nhiên, các tác giả cũng nêu hạn chế là phần lớn nghiên cứu trong tổng quan của họ chưa tách rõ nhóm này. Hệ quả phương pháp luận quan trọng cho nghiên cứu Việt Nam là cần đo đồng thời cả ba vai trò — nạn nhân, thủ phạm, và nhóm vừa là nạn nhân vừa là thủ phạm — để không bỏ sót nhóm có nguy cơ cao nhất theo y văn trước.</w:t>
      </w:r>
    </w:p>
    <w:p>
      <w:pPr>
        <w:ind w:firstLine="567"/>
        <w:jc w:val="both"/>
      </w:pPr>
      <w:r>
        <w:rPr>
          <w:rFonts w:ascii="Times New Roman" w:hAnsi="Times New Roman"/>
          <w:b w:val="0"/>
          <w:i w:val="0"/>
          <w:sz w:val="26"/>
        </w:rPr>
        <w:t>Bắt nạt thể chất hiếm khi tác động đơn lẻ mà thường tương tác với các yếu tố bối cảnh khác. Khi đi kèm với mức hỗ trợ xã hội thấp, trải nghiệm bị bắt nạt có thể khuếch đại nguy cơ lo âu ở học sinh; ngược lại, một mạng lưới hỗ trợ ổn định từ bạn bè và gia đình có thể làm giảm nhẹ tác động tiêu cực này. Cơ chế bảo vệ của hỗ trợ xã hội bao gồm cung cấp nguồn lực đối phó (cảm xúc, công cụ, thông tin), tạo ra trải nghiệm điều chỉnh thực tại — nơi học sinh được phản hồi rằng các đánh giá tiêu cực mà thủ phạm áp đặt không phải là chuẩn — và giảm cô lập xã hội, vốn là một trong các đường dẫn chính dẫn tới lo âu xã hội. Vì vậy, các nghiên cứu về bắt nạt cần đồng thời đo lường mức độ hỗ trợ xã hội để tránh đánh giá thiên lệch hiệu ứng và để mở đường cho các phân tích điều tiết (moderation analysis).</w:t>
      </w:r>
    </w:p>
    <w:p>
      <w:pPr>
        <w:ind w:firstLine="567"/>
        <w:jc w:val="both"/>
      </w:pPr>
      <w:r>
        <w:rPr>
          <w:rFonts w:ascii="Times New Roman" w:hAnsi="Times New Roman"/>
          <w:b w:val="0"/>
          <w:i w:val="0"/>
          <w:sz w:val="26"/>
        </w:rPr>
        <w:t>Tại Việt Nam, khảo sát 420 học sinh trung học phổ thông và giáo dục thường xuyên huyện Vĩnh Bảo, Hải Phòng của Phạm Thị Ngọc và cộng sự (2024) ghi nhận học sinh từng bị bạo lực học đường có nguy cơ lo âu cao gấp 2,42 lần so với nhóm không bị (tỷ số chênh hiệu chỉnh; khoảng tin cậy 95% từ 1,03 đến 5,71). Khoảng tin cậy rộng phản ánh cỡ mẫu khu vực vừa phải nhưng vẫn vượt ngưỡng có ý nghĩa thống kê. Nghiên cứu 845 học sinh dân tộc thiểu số nội trú tỉnh Lạng Sơn của Ngô Anh Vinh và cộng sự (2024) cũng cho thấy chất lượng quan hệ bạn bè kém có liên hệ thuận với cả lo âu, stress và trầm cảm, đồng thời số trải nghiệm bất lợi thời thơ ấu liên hệ thuận với điểm lo âu. Báo cáo V-NAMHS của Viện Xã hội học và cộng sự (2022) đã đưa bắt nạt vào diện đo lường (cả trải nghiệm là nạn nhân và là thủ phạm, cùng với dạng bắt nạt) như một yếu tố bối cảnh quan trọng, tuy nhiên báo cáo Main Findings chưa công bố các ước lượng tỷ lệ tách theo từng dạng — đây sẽ là một bổ sung quan trọng trong các báo cáo tiếp theo hoặc các phân tích thứ cấp từ dữ liệu V-NAMHS. Hướng của các phát hiện trùng với bằng chứng quốc tế, đồng thời gợi ý rằng tại Việt Nam, bắt nạt có thể tương tác với khoảng cách kinh tế – xã hội theo vùng miền — một biến mà các nghiên cứu hiện có chưa khai thác đầy đủ.</w:t>
      </w:r>
    </w:p>
    <w:p>
      <w:pPr>
        <w:ind w:firstLine="567"/>
        <w:jc w:val="both"/>
      </w:pPr>
      <w:r>
        <w:rPr>
          <w:rFonts w:ascii="Times New Roman" w:hAnsi="Times New Roman"/>
          <w:b w:val="0"/>
          <w:i w:val="0"/>
          <w:sz w:val="26"/>
        </w:rPr>
        <w:t>Trên phương diện cơ chế thần kinh – sinh học, bắt nạt thể chất kéo dài có thể được đặt trong khung mô hình stress mạn tính sớm, nơi các trải nghiệm đe dọa tái diễn làm nhạy cảm hóa hệ thống phát hiện đe dọa của não — bao gồm hạnh nhân và các vùng vỏ não trước trán liên quan đến điều tiết cảm xúc. Trẻ bị bắt nạt lặp lại có xu hướng phát triển cảnh giác quá mức với các tín hiệu xã hội mơ hồ, dẫn tới ngưỡng kích phát phản ứng lo âu thấp hơn — ngay cả trong các tình huống không có đe dọa thật. Hệ quả lâm sàng là lo âu xã hội và lo âu lan tỏa, hai dạng phổ biến nhất ở vị thành niên. Cơ chế này có hàm ý dự phòng quan trọng: can thiệp sớm — trước khi mô hình cảnh giác quá mức được củng cố — có thể có hiệu quả cao hơn nhiều so với điều trị sau khi triệu chứng đã hình thành.</w:t>
      </w:r>
    </w:p>
    <w:p>
      <w:pPr>
        <w:ind w:firstLine="567"/>
        <w:jc w:val="both"/>
      </w:pPr>
      <w:r>
        <w:rPr>
          <w:rFonts w:ascii="Times New Roman" w:hAnsi="Times New Roman"/>
          <w:b w:val="0"/>
          <w:i w:val="0"/>
          <w:sz w:val="26"/>
        </w:rPr>
        <w:t>Một khía cạnh ít được khảo sát ở Việt Nam là vai trò của nhóm người chứng kiến (bystanders) trong động lực bắt nạt thể chất. Mỗi sự kiện bắt nạt thường có ba vai trò: thủ phạm, nạn nhân và người chứng kiến — và phản ứng của người chứng kiến (can thiệp, im lặng, cổ vũ thủ phạm) ảnh hưởng đáng kể đến tần suất tái diễn cũng như mức độ tổn thương tâm lý của nạn nhân. Trong môi trường lớp học Việt Nam với cấu trúc lớp ổn định nhiều năm, đặc tính của mạng lưới người chứng kiến có thể là biến điều biến quan trọng — một lớp có văn hóa cổ vũ phản đối hành vi bắt nạt sẽ tạo ra hiệu ứng bảo vệ khác hẳn so với một lớp im lặng. Các nghiên cứu Việt Nam tương lai nên đo đồng thời phản ứng của người chứng kiến và đánh giá vai trò của nó như một biến cấp lớp trong mô hình hồi quy đa cấp (multilevel regression).</w:t>
      </w:r>
    </w:p>
    <w:p>
      <w:pPr>
        <w:ind w:firstLine="567"/>
        <w:jc w:val="both"/>
      </w:pPr>
      <w:r>
        <w:rPr>
          <w:rFonts w:ascii="Times New Roman" w:hAnsi="Times New Roman"/>
          <w:b w:val="0"/>
          <w:i w:val="0"/>
          <w:sz w:val="26"/>
        </w:rPr>
        <w:t>Giai đoạn đại dịch COVID-19 và hậu đại dịch đã làm thay đổi đáng kể mô thức bắt nạt thể chất tại các trường Việt Nam. Các giai đoạn học trực tuyến kéo dài làm giảm cơ hội tiếp xúc trực tiếp và do đó giảm tỷ lệ phơi nhiễm với bắt nạt thể chất truyền thống; tuy nhiên, khi quay trở lại học trực tiếp, một số báo cáo cho thấy mô thức bắt nạt thay đổi về cấu trúc — nhóm bạn trong lớp tái cấu trúc, học sinh phải xây dựng lại quan hệ và một số cá nhân vốn có vốn xã hội yếu trước đại dịch trở nên dễ tổn thương hơn. Bằng chứng tại Việt Nam về quỹ đạo này còn thiếu hệ thống, nhưng đây là một thời điểm quan sát đặc biệt giá trị nếu được nghiên cứu dọc.</w:t>
      </w:r>
    </w:p>
    <w:p>
      <w:pPr>
        <w:ind w:firstLine="567"/>
        <w:jc w:val="both"/>
      </w:pPr>
      <w:r>
        <w:rPr>
          <w:rFonts w:ascii="Times New Roman" w:hAnsi="Times New Roman"/>
          <w:b w:val="0"/>
          <w:i w:val="0"/>
          <w:sz w:val="26"/>
        </w:rPr>
        <w:t>Khoảng trống chính trong nghiên cứu Việt Nam về bắt nạt thể chất gồm năm điểm. Một, thiếu phân tách rõ ba vai trò: nạn nhân, thủ phạm, và nhóm vừa là nạn nhân vừa là thủ phạm — làm bỏ sót nhóm có nguy cơ cao nhất. Hai, thiếu các nghiên cứu khảo sát đồng thời cường độ, tần suất và thời điểm khởi phát bắt nạt — các đặc tính có ảnh hưởng khác nhau lên đầu ra. Ba, thiếu các phân tích tương tác giữa bắt nạt và hỗ trợ xã hội ở cấp lớp và cấp gia đình. Bốn, các nghiên cứu trên học sinh dân tộc thiểu số và học sinh nội trú còn rất ít, trong khi đây là nhóm có nguy cơ riêng do cách ly khỏi gia đình và bối cảnh văn hóa khác biệt. Năm, vai trò của người chứng kiến và mô thức biến đổi sau đại dịch chưa được nghiên cứu hệ thống mặc dù là biến điều biến quan trọng.</w:t>
      </w:r>
    </w:p>
    <w:p>
      <w:pPr>
        <w:pStyle w:val="Heading2"/>
      </w:pPr>
      <w:r>
        <w:rPr>
          <w:rFonts w:ascii="Times New Roman" w:hAnsi="Times New Roman"/>
          <w:color w:val="000000"/>
        </w:rPr>
        <w:t>4.4. Bắt nạt bằng lời nói và bắt nạt mạng</w:t>
      </w:r>
    </w:p>
    <w:p>
      <w:pPr>
        <w:ind w:firstLine="567"/>
        <w:jc w:val="both"/>
      </w:pPr>
      <w:r>
        <w:rPr>
          <w:rFonts w:ascii="Times New Roman" w:hAnsi="Times New Roman"/>
          <w:b w:val="0"/>
          <w:i w:val="0"/>
          <w:sz w:val="26"/>
        </w:rPr>
        <w:t>Bắt nạt bằng lời nói và bắt nạt mạng (cyberbullying) hợp thành nhóm hai dạng bắt nạt phi thể chất ngày càng được giới nghiên cứu chú ý. Trong khi bắt nạt thể chất giảm tỷ lệ tại nhiều khu vực, bắt nạt bằng lời và bắt nạt mạng lại có xu hướng ngược lại do thiếu rào cản kỹ thuật và đặc tính ẩn danh, kéo dài liên tục và có đông người chứng kiến trong môi trường trực tuyến. Phân tích tổng hợp các nghiên cứu dọc của Lee và cộng sự (2026) công bố trên tạp chí Trauma, Violence, &amp; Abuse, tổng hợp 27 nghiên cứu dọc, báo cáo hệ số tương quan tổng hợp giữa nạn nhân bắt nạt mạng và các triệu chứng sức khỏe tâm thần — bao gồm lo âu và trầm cảm — ở mức r = 0,23 (khoảng tin cậy 95% từ 0,19 đến 0,27); kích thước hiệu ứng nhỏ về mặt thống kê nhưng có ý nghĩa lâm sàng đáng kể do tỷ lệ phơi nhiễm cao và do thiết kế dọc cho phép loại trừ các giải thích nhân – quả ngược.</w:t>
      </w:r>
    </w:p>
    <w:p>
      <w:pPr>
        <w:ind w:firstLine="567"/>
        <w:jc w:val="both"/>
      </w:pPr>
      <w:r>
        <w:rPr>
          <w:rFonts w:ascii="Times New Roman" w:hAnsi="Times New Roman"/>
          <w:b w:val="0"/>
          <w:i w:val="0"/>
          <w:sz w:val="26"/>
        </w:rPr>
        <w:t>Cơ chế khác biệt giữa bắt nạt bằng lời và bắt nạt mạng đã được y văn quốc tế bàn rộng rãi: nạn nhân bắt nạt bằng lời chịu tổn thương kéo dài hơn do tính lặp lại và khó kiểm chứng được hành vi, dẫn tới sự dè dặt khi báo cáo với người lớn — đặc biệt trong các nền văn hóa coi trọng giữ thể diện hoặc không khuyến khích tố cáo bạn bè. Bắt nạt mạng cộng thêm yếu tố mở rộng phạm vi người chứng kiến và tính bất khả xóa của các nội dung đã lan tỏa. Hai yếu tố này tạo ra hiệu ứng cộng dồn trên lo âu xã hội — nạn nhân không chỉ chịu tổn thương trực tiếp mà còn lo lắng về sự hiện diện kéo dài của tổn thương trong nhận thức của cộng đồng bạn bè, một dạng tổn thương phụ mang tính dự đoán. Lưu ý phân tích tổng hợp của Moore và cộng sự (2017) đã gộp tất cả các dạng bắt nạt — thể chất, bằng lời, bắt nạt mạng — vào một biến phơi nhiễm chung, do đó kết quả OR = 1,77 ở phần trên là hiệu ứng tổng và chưa cho phép so sánh khác biệt theo dạng.</w:t>
      </w:r>
    </w:p>
    <w:p>
      <w:pPr>
        <w:ind w:firstLine="567"/>
        <w:jc w:val="both"/>
      </w:pPr>
      <w:r>
        <w:rPr>
          <w:rFonts w:ascii="Times New Roman" w:hAnsi="Times New Roman"/>
          <w:b w:val="0"/>
          <w:i w:val="0"/>
          <w:sz w:val="26"/>
        </w:rPr>
        <w:t>Tại Việt Nam, khảo sát của Phạm Thị Ngọc và cộng sự (2024) ghi nhận học sinh không có quan hệ hòa đồng với bạn bè có nguy cơ lo âu cao gấp 2,25 lần so với nhóm hòa đồng — phản ánh tác động của loại trừ xã hội, một dạng tổn thương gần với bắt nạt bằng lời nói. Các hình thức bắt nạt bằng lời thường được phối hợp với hành vi loại trừ xã hội — chẳng hạn cô lập trong nhóm bạn lớp, từ chối ngồi gần hoặc lập nhóm trò chuyện riêng có chủ ý loại trừ một học sinh. Khi cộng dồn các hành vi này, tổn thương tâm lý có thể vượt xa tổn thương từ bắt nạt thể chất đơn lẻ, ngay cả khi không để lại bằng chứng vật lý. Bắt nạt mạng làm gia tăng mức độ phơi nhiễm do tính ẩn danh và khả năng lan tỏa nhanh trong môi trường trực tuyến — một đặc thù đáng lưu ý trong bối cảnh phổ cập smartphone ở HSTHCS Việt Nam.</w:t>
      </w:r>
    </w:p>
    <w:p>
      <w:pPr>
        <w:ind w:firstLine="567"/>
        <w:jc w:val="both"/>
      </w:pPr>
      <w:r>
        <w:rPr>
          <w:rFonts w:ascii="Times New Roman" w:hAnsi="Times New Roman"/>
          <w:b w:val="0"/>
          <w:i w:val="0"/>
          <w:sz w:val="26"/>
        </w:rPr>
        <w:t>Do bắt nạt bằng lời và bắt nạt mạng thường đồng phơi nhiễm, các nghiên cứu tương lai tại Việt Nam nên đo lường cả hai dạng đồng thời và chuẩn hóa một thang đo tổng hợp tiếng Việt — có thể dựa trên Cyberbullying and Online Aggression Survey hoặc Olweus Bully/Victim Questionnaire bản rút gọn. Một quan sát quan trọng khác là tính bền vững của tổn thương tâm lý ở những nạn nhân bị bắt nạt phối hợp nhiều dạng: bắt nạt thể chất có thể chấm dứt khi học sinh đổi trường hoặc đổi lớp, nhưng các nội dung bắt nạt mạng — đặc biệt là hình ảnh hoặc video lan truyền — tồn tại lâu dài trên không gian số và có thể tái xuất hiện bất ngờ trong các bối cảnh khác. Hệ quả là phản ứng lo âu có thể được tái kích hoạt thậm chí khi học sinh đã rời khỏi nhóm bạn cũ, kéo dài thời kỳ phục hồi và tăng nguy cơ chuyển thành rối loạn lo âu mạn tính. Đây là một đặc điểm cần được tính đến khi thiết kế cả các nghiên cứu dọc lẫn các can thiệp phục hồi cho nạn nhân.</w:t>
      </w:r>
    </w:p>
    <w:p>
      <w:pPr>
        <w:ind w:firstLine="567"/>
        <w:jc w:val="both"/>
      </w:pPr>
      <w:r>
        <w:rPr>
          <w:rFonts w:ascii="Times New Roman" w:hAnsi="Times New Roman"/>
          <w:b w:val="0"/>
          <w:i w:val="0"/>
          <w:sz w:val="26"/>
        </w:rPr>
        <w:t>Một đặc thù văn hóa Việt Nam có liên quan trực tiếp đến nhận diện và can thiệp là chuẩn mực ngầm về việc không tố cáo bạn bè và giữ thể diện. Học sinh bị bắt nạt bằng lời nói thường lựa chọn im lặng hoặc tự đổ lỗi cho bản thân thay vì báo cáo với giáo viên hoặc phụ huynh; tỷ lệ báo cáo càng thấp khi mối quan hệ với người lớn xa cách hoặc khi học sinh dự đoán phản ứng từ người lớn sẽ là khiển trách thay vì hỗ trợ. Hệ quả là các thống kê chính thức về bắt nạt phi thể chất thường thấp hơn thực tế, và bắt nạt bằng lời nói có thể là yếu tố nguy cơ bị đánh giá dưới mức nhất trong số năm nhóm yếu tố của chương này. Việc khắc phục đòi hỏi kết hợp nhiều biện pháp: khảo sát ẩn danh quy mô lớn, tập huấn giáo viên về cách tiếp nhận báo cáo, và xây dựng kênh báo cáo riêng tư cho học sinh.</w:t>
      </w:r>
    </w:p>
    <w:p>
      <w:pPr>
        <w:ind w:firstLine="567"/>
        <w:jc w:val="both"/>
      </w:pPr>
      <w:r>
        <w:rPr>
          <w:rFonts w:ascii="Times New Roman" w:hAnsi="Times New Roman"/>
          <w:b w:val="0"/>
          <w:i w:val="0"/>
          <w:sz w:val="26"/>
        </w:rPr>
        <w:t>Một quan sát chuyên biệt với bối cảnh nền tảng số tại Việt Nam là vai trò của các nhóm trò chuyện riêng (private group chats) trên Facebook Messenger và Zalo trong các vụ bắt nạt bằng lời và bắt nạt mạng. Khác với các bài đăng công khai có thể được giáo viên, phụ huynh hoặc bạn cùng lớp lớn tuổi hơn phát hiện, các nhóm trò chuyện riêng được khép kín giữa một số ít học sinh và do đó nội dung bắt nạt — bao gồm cả hình ảnh, video và lời nói — không bị phát hiện cho đến khi tác hại đã hiện rõ. Đặc tính "ẩn hơn cả ẩn danh" này đặc biệt nguy hiểm với HSTHCS vì lứa tuổi này thường chưa có chiến lược ứng phó với bắt nạt được tổ chức hóa và có xu hướng tự giải quyết trong nhóm bạn. Các nghiên cứu khảo sát ẩn danh tương lai nên có câu hỏi riêng về phơi nhiễm trong nhóm trò chuyện riêng, không chỉ trên nền tảng công khai.</w:t>
      </w:r>
    </w:p>
    <w:p>
      <w:pPr>
        <w:ind w:firstLine="567"/>
        <w:jc w:val="both"/>
      </w:pPr>
      <w:r>
        <w:rPr>
          <w:rFonts w:ascii="Times New Roman" w:hAnsi="Times New Roman"/>
          <w:b w:val="0"/>
          <w:i w:val="0"/>
          <w:sz w:val="26"/>
        </w:rPr>
        <w:t>Đặc thù Việt Nam khác là khoảng cách lứa tuổi giữa giáo viên và học sinh trong nhận diện bắt nạt mạng. Phần lớn giáo viên hiện hành ở các trường THCS được đào tạo trong giai đoạn trước khi mạng xã hội phổ cập rộng rãi và thường không thông thuộc các nền tảng và ngôn ngữ trực tuyến mà học sinh sử dụng. Hệ quả là các báo cáo của học sinh về bắt nạt mạng có thể không được nhận diện đúng mức độ nghiêm trọng. Khuyến nghị thực tiễn là tích hợp các module đào tạo giáo viên về nhận diện bắt nạt mạng vào chương trình bồi dưỡng định kỳ, bao gồm cả việc cập nhật các nền tảng mới xuất hiện và các hình thức biến tướng của bắt nạt mạng (deepfake, chỉnh sửa hình ảnh, các trào lưu chế giễu).</w:t>
      </w:r>
    </w:p>
    <w:p>
      <w:pPr>
        <w:ind w:firstLine="567"/>
        <w:jc w:val="both"/>
      </w:pPr>
      <w:r>
        <w:rPr>
          <w:rFonts w:ascii="Times New Roman" w:hAnsi="Times New Roman"/>
          <w:b w:val="0"/>
          <w:i w:val="0"/>
          <w:sz w:val="26"/>
        </w:rPr>
        <w:t>Tổng kết về bắt nạt bằng lời nói và bắt nạt mạng: đây là cặp yếu tố có bằng chứng quốc tế đủ mạnh (Lee và cộng sự, 2026 trên 27 nghiên cứu dọc; Moore và cộng sự, 2017 về cơ chế kéo dài) trong khi bằng chứng nội địa còn thưa và chủ yếu phản ánh loại trừ xã hội (Phạm Thị Ngọc và cộng sự, 2024). Khoảng trống chính là (i) thiếu thang đo bắt nạt mạng chuẩn hóa tiếng Việt cho HSTHCS; (ii) thiếu thiết kế đồng đo bắt nạt bằng lời và bắt nạt mạng để bóc tách hiệu ứng đồng phơi nhiễm; (iii) thiếu nghiên cứu dọc theo dõi tính bền vững của tổn thương sau khi nội dung bắt nạt mạng tiếp tục tồn tại trên không gian số; (iv) thiếu khảo sát phơi nhiễm trong nhóm trò chuyện riêng — kênh khó phát hiện nhất; (v) thiếu nghiên cứu về năng lực nhận diện bắt nạt mạng của giáo viên và phụ huynh.</w:t>
      </w:r>
    </w:p>
    <w:p>
      <w:pPr>
        <w:pStyle w:val="Heading2"/>
      </w:pPr>
      <w:r>
        <w:rPr>
          <w:rFonts w:ascii="Times New Roman" w:hAnsi="Times New Roman"/>
          <w:color w:val="000000"/>
        </w:rPr>
        <w:t>4.5. Lòng tự trọng thấp</w:t>
      </w:r>
    </w:p>
    <w:p>
      <w:pPr>
        <w:ind w:firstLine="567"/>
        <w:jc w:val="both"/>
      </w:pPr>
      <w:r>
        <w:rPr>
          <w:rFonts w:ascii="Times New Roman" w:hAnsi="Times New Roman"/>
          <w:b w:val="0"/>
          <w:i w:val="0"/>
          <w:sz w:val="26"/>
        </w:rPr>
        <w:t>Lòng tự trọng thấp được bổ sung như yếu tố thứ năm dựa trên hai cân nhắc đan xen. Thứ nhất, lòng tự trọng vừa là một yếu tố nguy cơ độc lập vừa là biến trung gian kết nối các yếu tố tình huống (áp lực học tập, bắt nạt, phơi nhiễm mạng xã hội) với triệu chứng lo âu. Sự kết hợp hai vai trò khiến lòng tự trọng trở thành một biến chiến lược cả về giải thích lý thuyết lẫn thiết kế can thiệp. Thứ hai, các bằng chứng phân tích tổng hợp về lòng tự trọng đã đạt mức tin cậy cao. Sowislo và Orth (2013) trong phân tích tổng hợp các nghiên cứu dọc báo cáo rằng lòng tự trọng thấp dự báo ngược triệu chứng lo âu trong tương lai với hệ số β = −0,10 — nhánh phân tích riêng cho lo âu dựa trên 18 mẫu dọc — ngay cả sau khi kiểm soát đầy đủ mức cơ sở của lo âu. Hệ số tuy nhỏ nhưng nhất quán xuyên các mẫu và thỏa các tiêu chí Bradford Hill về tính nhân – quả khi đặt cùng các bằng chứng khác.</w:t>
      </w:r>
    </w:p>
    <w:p>
      <w:pPr>
        <w:ind w:firstLine="567"/>
        <w:jc w:val="both"/>
      </w:pPr>
      <w:r>
        <w:rPr>
          <w:rFonts w:ascii="Times New Roman" w:hAnsi="Times New Roman"/>
          <w:b w:val="0"/>
          <w:i w:val="0"/>
          <w:sz w:val="26"/>
        </w:rPr>
        <w:t>Compas và cộng sự (2017) trên hơn 80.000 trẻ em – vị thành niên xác nhận đối phó né tránh và đối phó cảm xúc tiêu cực có liên hệ thuận với lo âu, trong khi đối phó tập trung vào vấn đề có vai trò bảo vệ; lòng tự trọng được xem là yếu tố chi phối khả năng lựa chọn chiến lược đối phó thích nghi. Khi lòng tự trọng thấp, học sinh có xu hướng đánh giá khả năng kiểm soát tình huống của mình thấp hơn thực tế, dẫn tới né tránh — bỏ học, từ chối tham gia hoạt động lớp, tránh các tương tác xã hội. Né tránh giảm nhẹ căng thẳng ngắn hạn nhưng làm hẹp dần phạm vi trải nghiệm của học sinh, làm giảm cơ hội thử và sửa, qua đó củng cố niềm tin tiêu cực về bản thân — một vòng lặp âm tính cổ điển trong lý thuyết nhận thức – hành vi.</w:t>
      </w:r>
    </w:p>
    <w:p>
      <w:pPr>
        <w:ind w:firstLine="567"/>
        <w:jc w:val="both"/>
      </w:pPr>
      <w:r>
        <w:rPr>
          <w:rFonts w:ascii="Times New Roman" w:hAnsi="Times New Roman"/>
          <w:b w:val="0"/>
          <w:i w:val="0"/>
          <w:sz w:val="26"/>
        </w:rPr>
        <w:t>Tại Việt Nam, bằng chứng định lượng trực tiếp về lòng tự trọng và lo âu ở học sinh trung học cơ sở còn rất hạn chế. Nghiên cứu của Phạm Sỹ Tiến và cộng sự (2024) trên 546 thanh thiếu niên 12–18 tuổi tại các cơ sở hỗ trợ xã hội thuộc chín tỉnh, thành phố cho thấy chất lượng chăm sóc cảm xúc có liên hệ nghịch và đáng kể với các vấn đề sức khỏe tâm thần, trong đó có lo âu (hệ số β = −0,40; p &lt; 0,001) — gợi ý vai trò của nâng đỡ cảm xúc và tự đánh giá tích cực đối với sức khỏe tâm thần của thanh thiếu niên. Khảo sát 976 học sinh trung học phổ thông Thành phố Hồ Chí Minh của Trần Hồ Vĩnh Lộc và cộng sự (2024) bằng thang DASS-Y xác định áp lực học tập là yếu tố nguy cơ mạnh đối với lo âu, với tỷ số tỷ lệ hiện mắc hiệu chỉnh đạt 2,82 ở nhóm chịu áp lực học tập mức nặng — một mức độ liên hệ mà nếu được kiểm định trong thiết kế dọc với đo lường lòng tự trọng đầy đủ, phần đáng kể có thể được trung gian qua biến tự đánh giá bản thân. Khoảng trống về đo lường trực tiếp lòng tự trọng trong các nghiên cứu trên học sinh trung học cơ sở Việt Nam cần được ưu tiên lấp đầy, ví dụ qua việc kiểm định thang Rosenberg phiên bản tiếng Việt trên mẫu HSTHCS đại diện.</w:t>
      </w:r>
    </w:p>
    <w:p>
      <w:pPr>
        <w:jc w:val="center"/>
      </w:pPr>
      <w:r>
        <w:drawing>
          <wp:inline xmlns:a="http://schemas.openxmlformats.org/drawingml/2006/main" xmlns:pic="http://schemas.openxmlformats.org/drawingml/2006/picture">
            <wp:extent cx="5220000" cy="2022780"/>
            <wp:docPr id="3" name="Picture 3"/>
            <wp:cNvGraphicFramePr>
              <a:graphicFrameLocks noChangeAspect="1"/>
            </wp:cNvGraphicFramePr>
            <a:graphic>
              <a:graphicData uri="http://schemas.openxmlformats.org/drawingml/2006/picture">
                <pic:pic>
                  <pic:nvPicPr>
                    <pic:cNvPr id="0" name="chart3_VN_OR.png"/>
                    <pic:cNvPicPr/>
                  </pic:nvPicPr>
                  <pic:blipFill>
                    <a:blip r:embed="rId11"/>
                    <a:stretch>
                      <a:fillRect/>
                    </a:stretch>
                  </pic:blipFill>
                  <pic:spPr>
                    <a:xfrm>
                      <a:off x="0" y="0"/>
                      <a:ext cx="5220000" cy="2022780"/>
                    </a:xfrm>
                    <a:prstGeom prst="rect"/>
                  </pic:spPr>
                </pic:pic>
              </a:graphicData>
            </a:graphic>
          </wp:inline>
        </w:drawing>
      </w:r>
    </w:p>
    <w:p>
      <w:pPr>
        <w:jc w:val="center"/>
      </w:pPr>
      <w:r>
        <w:rPr>
          <w:rFonts w:ascii="Times New Roman" w:hAnsi="Times New Roman"/>
          <w:i/>
          <w:sz w:val="22"/>
        </w:rPr>
        <w:t>Biểu đồ 3. Ước lượng hiệu ứng của ba yếu tố nguy cơ → lo âu trong các nghiên cứu Việt Nam được trích dẫn. AOR = tỷ số chênh đã hiệu chỉnh; APR = tỷ số tỷ lệ hiện mắc đã hiệu chỉnh. Đường đứt nét tham chiếu = 1,0 (không có hiệu ứng).</w:t>
      </w:r>
    </w:p>
    <w:p>
      <w:pPr>
        <w:ind w:firstLine="567"/>
        <w:jc w:val="both"/>
      </w:pPr>
      <w:r>
        <w:rPr>
          <w:rFonts w:ascii="Times New Roman" w:hAnsi="Times New Roman"/>
          <w:b w:val="0"/>
          <w:i w:val="0"/>
          <w:sz w:val="26"/>
        </w:rPr>
        <w:t>Trên phương diện lý thuyết, lòng tự trọng được xem như một biến trung gian quan trọng giữa các yếu tố môi trường và triệu chứng lo âu. Khi học sinh đối mặt với áp lực học tập kéo dài hoặc bị bắt nạt lặp lại, sự tự đánh giá tiêu cực về bản thân dễ trở thành chỉ báo ổn định và lan tỏa sang các tình huống khác — làm cho phản ứng lo âu trở nên khái quát hơn thay vì chỉ giới hạn trong bối cảnh kích phát ban đầu. Theo đó, can thiệp nâng cao lòng tự trọng có thể đóng vai trò "đòn bẩy" — cải thiện đồng thời nhiều cấu trúc nguy cơ thay vì chỉ tác động vào từng yếu tố môi trường riêng lẻ. Đây là hàm ý thực tiễn quan trọng cho việc thiết kế các chương trình dự phòng tâm lý học đường tại Việt Nam, đặc biệt khi nguồn lực còn hạn chế và đòi hỏi can thiệp có tính tiết kiệm – hiệu quả cao.</w:t>
      </w:r>
    </w:p>
    <w:p>
      <w:pPr>
        <w:ind w:firstLine="567"/>
        <w:jc w:val="both"/>
      </w:pPr>
      <w:r>
        <w:rPr>
          <w:rFonts w:ascii="Times New Roman" w:hAnsi="Times New Roman"/>
          <w:b w:val="0"/>
          <w:i w:val="0"/>
          <w:sz w:val="26"/>
        </w:rPr>
        <w:t>Ngoài ra, sự đồng phơi nhiễm của nhiều yếu tố nguy cơ ở cùng một học sinh là một đặc điểm quan trọng nhưng thường ít được khai thác trong các nghiên cứu cắt ngang. Một học sinh THCS Việt Nam có thể đồng thời phải đối phó với áp lực học tập cao, mạng lưới bạn bè không ổn định, sử dụng điện thoại quá nhiều và có lòng tự trọng tương đối thấp — mô hình "nguy cơ kết hợp" này khó phát hiện nếu nghiên cứu chỉ đo từng yếu tố riêng. Vì vậy, các thiết kế tương lai nên áp dụng các phương pháp phân tích đa biến hiện đại — phân tích hồ sơ tiềm ẩn (Latent Profile Analysis), mô hình phương trình cấu trúc (Structural Equation Modeling) — để bóc tách quan hệ trung gian và quan hệ tương tác giữa các yếu tố. Các phương pháp này đã được áp dụng thành công trong nhiều nghiên cứu quốc tế, song còn ít phổ biến trong nghiên cứu dịch tễ tâm thần học đường Việt Nam.</w:t>
      </w:r>
    </w:p>
    <w:p>
      <w:pPr>
        <w:ind w:firstLine="567"/>
        <w:jc w:val="both"/>
      </w:pPr>
      <w:r>
        <w:rPr>
          <w:rFonts w:ascii="Times New Roman" w:hAnsi="Times New Roman"/>
          <w:b w:val="0"/>
          <w:i w:val="0"/>
          <w:sz w:val="26"/>
        </w:rPr>
        <w:t>Trên khung tổng hợp về điều tiết cảm xúc – đối phó, lòng tự trọng có vai trò chi phối khả năng lựa chọn chiến lược đối phó thích nghi trong tình huống căng thẳng học đường. Học sinh có lòng tự trọng cao có xu hướng chọn các chiến lược tập trung vào vấn đề hoặc đánh giá lại nhận thức, trong khi học sinh tự trọng thấp dễ chuyển sang né tránh và tự đổ lỗi. Cơ chế này có hàm ý quan trọng cho thiết kế can thiệp ở Việt Nam: các chương trình tăng cường tự trọng có thể là cánh cửa hiệu quả để cải thiện điều tiết cảm xúc rộng hơn, chứ không đơn thuần giảm triệu chứng lo âu trực tiếp. Sự tương tác giữa lòng tự trọng và áp lực học tập cũng đáng chú ý. Khi áp lực học tập cao, học sinh tự trọng thấp dễ rơi vào vòng xoáy thất bại – tự đánh giá tiêu cực – lo âu, trong khi học sinh tự trọng cao có khả năng phân tách thất bại nhất thời khỏi đánh giá tổng thể về bản thân. Việc thiết kế can thiệp đa thành phần — kết hợp giảm áp lực, tăng tự trọng và cải thiện đối phó — do đó có thể khả thi hơn so với can thiệp đơn yếu tố.</w:t>
      </w:r>
    </w:p>
    <w:p>
      <w:pPr>
        <w:ind w:firstLine="567"/>
        <w:jc w:val="both"/>
      </w:pPr>
      <w:r>
        <w:rPr>
          <w:rFonts w:ascii="Times New Roman" w:hAnsi="Times New Roman"/>
          <w:b w:val="0"/>
          <w:i w:val="0"/>
          <w:sz w:val="26"/>
        </w:rPr>
        <w:t>Khi áp dụng khái niệm lòng tự trọng vào bối cảnh văn hóa tập thể tại Việt Nam, cần phân biệt lòng tự trọng cá nhân (self-esteem) và lòng tự trọng quan hệ (relational self-esteem) — đánh giá tích cực về bản thân dựa trên vai trò trong các mối quan hệ quan trọng (con cái, anh chị em, bạn bè). Học sinh THCS Việt Nam có thể có lòng tự trọng cá nhân thấp nhưng lòng tự trọng quan hệ trung bình hoặc cao — và ngược lại. Sự phân tách này có hệ quả thực tiễn: các thang đo Rosenberg chuẩn quốc tế nhấn mạnh chiều cá nhân và có thể không nắm bắt đầy đủ chiều quan hệ vốn quan trọng hơn trong văn hóa Việt Nam. Khi kiểm định Rosenberg phiên bản tiếng Việt cho HSTHCS, các nhà nghiên cứu nên cân nhắc bổ sung các mục đo lòng tự trọng quan hệ và đánh giá cấu trúc nhân tố trên mẫu Việt Nam thay vì giả định cấu trúc một nhân tố nguyên gốc.</w:t>
      </w:r>
    </w:p>
    <w:p>
      <w:pPr>
        <w:ind w:firstLine="567"/>
        <w:jc w:val="both"/>
      </w:pPr>
      <w:r>
        <w:rPr>
          <w:rFonts w:ascii="Times New Roman" w:hAnsi="Times New Roman"/>
          <w:b w:val="0"/>
          <w:i w:val="0"/>
          <w:sz w:val="26"/>
        </w:rPr>
        <w:t>Trên phương diện can thiệp, các chương trình tăng cường lòng tự trọng trong trường học có hiệu quả khác nhau tùy nội dung và độ dài. Các can thiệp ngắn hạn (&lt; 6 tuần) tập trung vào tự khẳng định và phản hồi tích cực thường cho hiệu ứng tạm thời, trong khi các chương trình tích hợp huấn luyện kỹ năng đối phó, đánh giá lại nhận thức và xây dựng năng lực giải quyết vấn đề cho hiệu ứng kéo dài hơn. Đối với HSTHCS Việt Nam, một thiết kế có triển vọng là tích hợp các module lòng tự trọng vào giờ sinh hoạt lớp định kỳ và giờ Giáo dục công dân — vốn đã có sẵn trong khung chương trình hiện hành — thay vì xây dựng chương trình can thiệp riêng đòi hỏi nguồn lực phụ. Mô thức tích hợp này có lợi thế về khả năng nhân rộng và tính bền vững nhưng đòi hỏi tập huấn giáo viên một cách hệ thống và có cơ chế giám sát chất lượng triển khai.</w:t>
      </w:r>
    </w:p>
    <w:p>
      <w:pPr>
        <w:ind w:firstLine="567"/>
        <w:jc w:val="both"/>
      </w:pPr>
      <w:r>
        <w:rPr>
          <w:rFonts w:ascii="Times New Roman" w:hAnsi="Times New Roman"/>
          <w:b w:val="0"/>
          <w:i w:val="0"/>
          <w:sz w:val="26"/>
        </w:rPr>
        <w:t>Tổng kết về lòng tự trọng thấp: đây vừa là yếu tố nguy cơ độc lập (Sowislo &amp; Orth, 2013: β = −0,10 dọc) vừa là biến trung gian kết nối các yếu tố môi trường với lo âu (Compas và cộng sự, 2017 về đối phó). Bằng chứng tại Việt Nam còn rất hạn chế và chủ yếu gián tiếp qua các thang chất lượng chăm sóc (Phạm Sỹ Tiến và cộng sự, 2024: β = −0,40). Khoảng trống chính là (i) thiếu thang Rosenberg phiên bản tiếng Việt được kiểm định trên HSTHCS, với cân nhắc bổ sung chiều quan hệ; (ii) thiếu nghiên cứu kiểm định trực tiếp vai trò trung gian của lòng tự trọng giữa áp lực học tập – bắt nạt và lo âu; (iii) thiếu thiết kế can thiệp đa thành phần tích hợp tự trọng làm trục trung tâm và thử nghiệm thực địa trên mẫu HSTHCS Việt Nam.</w:t>
      </w:r>
    </w:p>
    <w:p>
      <w:pPr>
        <w:pStyle w:val="Heading2"/>
      </w:pPr>
      <w:r>
        <w:rPr>
          <w:rFonts w:ascii="Times New Roman" w:hAnsi="Times New Roman"/>
          <w:color w:val="000000"/>
        </w:rPr>
        <w:t>4.6. Tương tác giữa các yếu tố nguy cơ</w:t>
      </w:r>
    </w:p>
    <w:p>
      <w:pPr>
        <w:ind w:firstLine="567"/>
        <w:jc w:val="both"/>
      </w:pPr>
      <w:r>
        <w:rPr>
          <w:rFonts w:ascii="Times New Roman" w:hAnsi="Times New Roman"/>
          <w:b w:val="0"/>
          <w:i w:val="0"/>
          <w:sz w:val="26"/>
        </w:rPr>
        <w:t>Năm nhóm yếu tố trình bày trong các mục 4.1 đến 4.5 không tồn tại độc lập. Trong thực tế lâm sàng và thực địa giáo dục, một học sinh THCS hiếm khi chỉ phơi nhiễm với một yếu tố duy nhất; xu hướng phổ biến hơn là đồng phơi nhiễm — đồng thời chịu áp lực học tập cao, sử dụng smartphone kéo dài, có ít nhất một trải nghiệm bắt nạt, và có mức tự trọng thấp hơn trung bình. Khi các yếu tố cộng dồn trên cùng một cá nhân, nguy cơ lo âu có thể vượt xa tổng các nguy cơ đơn lẻ — một hiệu ứng tương tác dương — hoặc trong một số trường hợp, một yếu tố có thể bù trừ cho yếu tố khác, ví dụ hỗ trợ xã hội mạnh có thể làm giảm tác động của bắt nạt thể chất.</w:t>
      </w:r>
    </w:p>
    <w:p>
      <w:pPr>
        <w:ind w:firstLine="567"/>
        <w:jc w:val="both"/>
      </w:pPr>
      <w:r>
        <w:rPr>
          <w:rFonts w:ascii="Times New Roman" w:hAnsi="Times New Roman"/>
          <w:b w:val="0"/>
          <w:i w:val="0"/>
          <w:sz w:val="26"/>
        </w:rPr>
        <w:t>Có ba kiểu tương tác đáng được phân biệt trong nghiên cứu thực nghiệm. Thứ nhất là hiệu ứng cộng dồn, nơi tác động tổng bằng tổng các tác động đơn lẻ; đây là giả định mặc định của các mô hình hồi quy đa biến không bao gồm tích các biến. Thứ hai là hiệu ứng tương tác dương — tác động tổng lớn hơn tổng các tác động đơn lẻ; cần các số hạng tương tác trong mô hình để phát hiện. Thứ ba là hiệu ứng trung gian, nơi một yếu tố tác động lên đầu ra thông qua biến trung gian — ví dụ áp lực học tập tác động lên lo âu phần lớn qua trung gian lòng tự trọng và chiến lược đối phó. Phân biệt ba kiểu này có hệ quả trực tiếp cho thiết kế can thiệp: nếu là trung gian, can thiệp vào biến trung gian có thể đủ; nếu là tương tác dương, cần can thiệp đồng thời nhiều yếu tố.</w:t>
      </w:r>
    </w:p>
    <w:p>
      <w:pPr>
        <w:ind w:firstLine="567"/>
        <w:jc w:val="both"/>
      </w:pPr>
      <w:r>
        <w:rPr>
          <w:rFonts w:ascii="Times New Roman" w:hAnsi="Times New Roman"/>
          <w:b w:val="0"/>
          <w:i w:val="0"/>
          <w:sz w:val="26"/>
        </w:rPr>
        <w:t>Hai phương pháp phân tích đa biến hiện đại đặc biệt phù hợp cho nghiên cứu tương tác này. Phân tích hồ sơ tiềm ẩn (Latent Profile Analysis — LPA) phân nhóm học sinh theo mô hình phơi nhiễm đa yếu tố, qua đó xác định các "hồ sơ nguy cơ" — ví dụ "áp lực cao – tự trọng thấp – smartphone nhiều" so với "áp lực thấp – tự trọng cao – smartphone trung bình" — và so sánh tỷ lệ lo âu giữa các hồ sơ. Mô hình phương trình cấu trúc (Structural Equation Modeling — SEM) cho phép kiểm định đồng thời nhiều đường dẫn trung gian và tương tác, đồng thời ước lượng các sai số đo lường của các biến tiềm ẩn. Cả hai phương pháp đã được áp dụng rộng rãi trong các nghiên cứu quốc tế nhưng còn ít phổ biến ở Việt Nam — đây là một khoảng trống phương pháp luận đáng kể.</w:t>
      </w:r>
    </w:p>
    <w:p>
      <w:pPr>
        <w:ind w:firstLine="567"/>
        <w:jc w:val="both"/>
      </w:pPr>
      <w:r>
        <w:rPr>
          <w:rFonts w:ascii="Times New Roman" w:hAnsi="Times New Roman"/>
          <w:b w:val="0"/>
          <w:i w:val="0"/>
          <w:sz w:val="26"/>
        </w:rPr>
        <w:t>Ví dụ tương tác cụ thể đáng chú ý ở bối cảnh Việt Nam là tương tác giữa áp lực học tập và lòng tự trọng, đã được đề cập ở mục 4.5. Một tương tác khác là tương tác giữa bắt nạt và hỗ trợ xã hội ở cấp lớp: cùng một mức độ bắt nạt, học sinh có hỗ trợ bạn bè và gia đình mạnh thường có triệu chứng lo âu thấp hơn đáng kể so với học sinh thiếu hỗ trợ — đây là cơ sở để các can thiệp tập trung vào xây dựng văn hóa lớp học hỗ trợ thay vì chỉ vào nhận diện và xử lý hành vi bắt nạt. Tương tác thứ ba là giữa sử dụng smartphone và áp lực học tập: smartphone vừa có thể làm khuếch đại căng thẳng (do gián đoạn giấc ngủ, so sánh xã hội) vừa có thể đóng vai trò xả áp lực ngắn hạn — kết quả tùy thuộc vào loại nội dung và mục đích sử dụng. Các tương tác này gợi ý rằng các nghiên cứu Việt Nam tương lai nên ưu tiên thiết kế phân tích cho phép phát hiện hiệu ứng phi cộng dồn.</w:t>
      </w:r>
    </w:p>
    <w:p>
      <w:pPr>
        <w:ind w:firstLine="567"/>
        <w:jc w:val="both"/>
      </w:pPr>
      <w:r>
        <w:rPr>
          <w:rFonts w:ascii="Times New Roman" w:hAnsi="Times New Roman"/>
          <w:b w:val="0"/>
          <w:i w:val="0"/>
          <w:sz w:val="26"/>
        </w:rPr>
        <w:t>Tổng kết về tương tác giữa các yếu tố nguy cơ: năm nhóm yếu tố trình bày trong chương đồng phơi nhiễm phổ biến trên cùng một HSTHCS và có ba kiểu tương tác cần phân biệt — cộng dồn, tương tác dương, và trung gian. LPA và SEM là hai công cụ phân tích phù hợp cho các nghiên cứu Việt Nam tương lai. Bảng 2 dưới đây tổng hợp đồng thời bằng chứng quốc tế và Việt Nam cho cả năm nhóm yếu tố, cung cấp một khung tham chiếu nhanh trước khi chuyển sang phần bàn luận và đề xuất nghiên cứu tiếp theo.</w:t>
      </w:r>
    </w:p>
    <w:p>
      <w:pPr>
        <w:jc w:val="center"/>
      </w:pPr>
      <w:r>
        <w:rPr>
          <w:rFonts w:ascii="Times New Roman" w:hAnsi="Times New Roman"/>
          <w:b/>
          <w:i/>
          <w:sz w:val="22"/>
        </w:rPr>
        <w:t>Bảng 2. Tổng hợp năm nhóm yếu tố nguy cơ × bằng chứng quốc tế × bằng chứng Việt Nam.</w:t>
      </w:r>
    </w:p>
    <w:tbl>
      <w:tblPr>
        <w:tblStyle w:val="TableGrid"/>
        <w:tblW w:type="auto" w:w="0"/>
        <w:jc w:val="center"/>
        <w:tblLook w:firstColumn="1" w:firstRow="1" w:lastColumn="0" w:lastRow="0" w:noHBand="0" w:noVBand="1" w:val="04A0"/>
        <w:tblLayout w:type="fixed"/>
      </w:tblPr>
      <w:tblGrid>
        <w:gridCol w:w="1984"/>
        <w:gridCol w:w="3118"/>
        <w:gridCol w:w="3685"/>
      </w:tblGrid>
      <w:tr>
        <w:tc>
          <w:tcPr>
            <w:tcW w:w="1984" w:type="dxa"/>
            <w:shd w:fill="D9E2F3" w:val="clear"/>
          </w:tcPr>
          <w:p>
            <w:pPr>
              <w:jc w:val="center"/>
            </w:pPr>
            <w:r>
              <w:rPr>
                <w:rFonts w:ascii="Times New Roman" w:hAnsi="Times New Roman"/>
                <w:b/>
                <w:sz w:val="20"/>
              </w:rPr>
              <w:t>Nhóm YTNC</w:t>
            </w:r>
          </w:p>
        </w:tc>
        <w:tc>
          <w:tcPr>
            <w:tcW w:w="3118" w:type="dxa"/>
            <w:shd w:fill="D9E2F3" w:val="clear"/>
          </w:tcPr>
          <w:p>
            <w:pPr>
              <w:jc w:val="center"/>
            </w:pPr>
            <w:r>
              <w:rPr>
                <w:rFonts w:ascii="Times New Roman" w:hAnsi="Times New Roman"/>
                <w:b/>
                <w:sz w:val="20"/>
              </w:rPr>
              <w:t>Bằng chứng quốc tế</w:t>
            </w:r>
          </w:p>
        </w:tc>
        <w:tc>
          <w:tcPr>
            <w:tcW w:w="3685" w:type="dxa"/>
            <w:shd w:fill="D9E2F3" w:val="clear"/>
          </w:tcPr>
          <w:p>
            <w:pPr>
              <w:jc w:val="center"/>
            </w:pPr>
            <w:r>
              <w:rPr>
                <w:rFonts w:ascii="Times New Roman" w:hAnsi="Times New Roman"/>
                <w:b/>
                <w:sz w:val="20"/>
              </w:rPr>
              <w:t>Bằng chứng Việt Nam</w:t>
            </w:r>
          </w:p>
        </w:tc>
      </w:tr>
      <w:tr>
        <w:tc>
          <w:tcPr>
            <w:tcW w:w="1984" w:type="dxa"/>
          </w:tcPr>
          <w:p>
            <w:pPr>
              <w:jc w:val="both"/>
            </w:pPr>
            <w:r>
              <w:rPr>
                <w:rFonts w:ascii="Times New Roman" w:hAnsi="Times New Roman"/>
                <w:sz w:val="18"/>
              </w:rPr>
              <w:t>Áp lực học tập</w:t>
            </w:r>
          </w:p>
        </w:tc>
        <w:tc>
          <w:tcPr>
            <w:tcW w:w="3118" w:type="dxa"/>
          </w:tcPr>
          <w:p>
            <w:pPr>
              <w:jc w:val="both"/>
            </w:pPr>
            <w:r>
              <w:rPr>
                <w:rFonts w:ascii="Times New Roman" w:hAnsi="Times New Roman"/>
                <w:sz w:val="18"/>
              </w:rPr>
              <w:t>Pascoe (2020); Jagiello (2025); Xu (2021): THCS 13,89%; Chen (2023): 13,9%</w:t>
            </w:r>
          </w:p>
        </w:tc>
        <w:tc>
          <w:tcPr>
            <w:tcW w:w="3685" w:type="dxa"/>
          </w:tcPr>
          <w:p>
            <w:pPr>
              <w:jc w:val="both"/>
            </w:pPr>
            <w:r>
              <w:rPr>
                <w:rFonts w:ascii="Times New Roman" w:hAnsi="Times New Roman"/>
                <w:sz w:val="18"/>
              </w:rPr>
              <w:t>Đinh Thị Hồng Vân (2021): 91,1% gặp lo âu thi cử; Trần Hồ Vĩnh Lộc (2024): APR 2,82; Phạm Thị Thu Hoa (2024): 40,6%; Trần Thảo Vi (2024) dọc 3 năm</w:t>
            </w:r>
          </w:p>
        </w:tc>
      </w:tr>
      <w:tr>
        <w:tc>
          <w:tcPr>
            <w:tcW w:w="1984" w:type="dxa"/>
          </w:tcPr>
          <w:p>
            <w:pPr>
              <w:jc w:val="both"/>
            </w:pPr>
            <w:r>
              <w:rPr>
                <w:rFonts w:ascii="Times New Roman" w:hAnsi="Times New Roman"/>
                <w:sz w:val="18"/>
              </w:rPr>
              <w:t>Nghiện smartphone &amp; MXH</w:t>
            </w:r>
          </w:p>
        </w:tc>
        <w:tc>
          <w:tcPr>
            <w:tcW w:w="3118" w:type="dxa"/>
          </w:tcPr>
          <w:p>
            <w:pPr>
              <w:jc w:val="both"/>
            </w:pPr>
            <w:r>
              <w:rPr>
                <w:rFonts w:ascii="Times New Roman" w:hAnsi="Times New Roman"/>
                <w:sz w:val="18"/>
              </w:rPr>
              <w:t>Fassi (2025): g = 0,46–0,62; Brunborg (2025): yếu tố giải thích xu hướng tăng</w:t>
            </w:r>
          </w:p>
        </w:tc>
        <w:tc>
          <w:tcPr>
            <w:tcW w:w="3685" w:type="dxa"/>
          </w:tcPr>
          <w:p>
            <w:pPr>
              <w:jc w:val="both"/>
            </w:pPr>
            <w:r>
              <w:rPr>
                <w:rFonts w:ascii="Times New Roman" w:hAnsi="Times New Roman"/>
                <w:sz w:val="18"/>
              </w:rPr>
              <w:t>Hoàng Trung Học &amp; Nguyễn Thùy Dung (2025): thời lượng thiết bị thuận với lo âu — chưa có thang nghiện chuẩn hóa</w:t>
            </w:r>
          </w:p>
        </w:tc>
      </w:tr>
      <w:tr>
        <w:tc>
          <w:tcPr>
            <w:tcW w:w="1984" w:type="dxa"/>
          </w:tcPr>
          <w:p>
            <w:pPr>
              <w:jc w:val="both"/>
            </w:pPr>
            <w:r>
              <w:rPr>
                <w:rFonts w:ascii="Times New Roman" w:hAnsi="Times New Roman"/>
                <w:sz w:val="18"/>
              </w:rPr>
              <w:t>Bắt nạt thể chất</w:t>
            </w:r>
          </w:p>
        </w:tc>
        <w:tc>
          <w:tcPr>
            <w:tcW w:w="3118" w:type="dxa"/>
          </w:tcPr>
          <w:p>
            <w:pPr>
              <w:jc w:val="both"/>
            </w:pPr>
            <w:r>
              <w:rPr>
                <w:rFonts w:ascii="Times New Roman" w:hAnsi="Times New Roman"/>
                <w:sz w:val="18"/>
              </w:rPr>
              <w:t>Moore (2017): OR = 1,77 (1,34–2,33), 165 NC</w:t>
            </w:r>
          </w:p>
        </w:tc>
        <w:tc>
          <w:tcPr>
            <w:tcW w:w="3685" w:type="dxa"/>
          </w:tcPr>
          <w:p>
            <w:pPr>
              <w:jc w:val="both"/>
            </w:pPr>
            <w:r>
              <w:rPr>
                <w:rFonts w:ascii="Times New Roman" w:hAnsi="Times New Roman"/>
                <w:sz w:val="18"/>
              </w:rPr>
              <w:t>Phạm Thị Ngọc (2024): AOR = 2,42; Ngô Anh Vinh (2024): chất lượng bạn bè kém → SKTT; V-NAMHS (2022): đo nhưng chưa công bố tỷ lệ</w:t>
            </w:r>
          </w:p>
        </w:tc>
      </w:tr>
      <w:tr>
        <w:tc>
          <w:tcPr>
            <w:tcW w:w="1984" w:type="dxa"/>
          </w:tcPr>
          <w:p>
            <w:pPr>
              <w:jc w:val="both"/>
            </w:pPr>
            <w:r>
              <w:rPr>
                <w:rFonts w:ascii="Times New Roman" w:hAnsi="Times New Roman"/>
                <w:sz w:val="18"/>
              </w:rPr>
              <w:t>Bắt nạt lời + mạng</w:t>
            </w:r>
          </w:p>
        </w:tc>
        <w:tc>
          <w:tcPr>
            <w:tcW w:w="3118" w:type="dxa"/>
          </w:tcPr>
          <w:p>
            <w:pPr>
              <w:jc w:val="both"/>
            </w:pPr>
            <w:r>
              <w:rPr>
                <w:rFonts w:ascii="Times New Roman" w:hAnsi="Times New Roman"/>
                <w:sz w:val="18"/>
              </w:rPr>
              <w:t>Lee (2026): r = 0,23 dọc; Moore (2017): cơ chế kéo dài</w:t>
            </w:r>
          </w:p>
        </w:tc>
        <w:tc>
          <w:tcPr>
            <w:tcW w:w="3685" w:type="dxa"/>
          </w:tcPr>
          <w:p>
            <w:pPr>
              <w:jc w:val="both"/>
            </w:pPr>
            <w:r>
              <w:rPr>
                <w:rFonts w:ascii="Times New Roman" w:hAnsi="Times New Roman"/>
                <w:sz w:val="18"/>
              </w:rPr>
              <w:t>Phạm Thị Ngọc (2024): không hòa đồng → OR = 2,25; chưa có thang đo BNM chuẩn hóa tiếng Việt</w:t>
            </w:r>
          </w:p>
        </w:tc>
      </w:tr>
      <w:tr>
        <w:tc>
          <w:tcPr>
            <w:tcW w:w="1984" w:type="dxa"/>
          </w:tcPr>
          <w:p>
            <w:pPr>
              <w:jc w:val="both"/>
            </w:pPr>
            <w:r>
              <w:rPr>
                <w:rFonts w:ascii="Times New Roman" w:hAnsi="Times New Roman"/>
                <w:sz w:val="18"/>
              </w:rPr>
              <w:t>Lòng tự trọng thấp</w:t>
            </w:r>
          </w:p>
        </w:tc>
        <w:tc>
          <w:tcPr>
            <w:tcW w:w="3118" w:type="dxa"/>
          </w:tcPr>
          <w:p>
            <w:pPr>
              <w:jc w:val="both"/>
            </w:pPr>
            <w:r>
              <w:rPr>
                <w:rFonts w:ascii="Times New Roman" w:hAnsi="Times New Roman"/>
                <w:sz w:val="18"/>
              </w:rPr>
              <w:t>Sowislo &amp; Orth (2013): β = −0,10 dọc; Compas (2017): đối phó né tránh thuận với lo âu</w:t>
            </w:r>
          </w:p>
        </w:tc>
        <w:tc>
          <w:tcPr>
            <w:tcW w:w="3685" w:type="dxa"/>
          </w:tcPr>
          <w:p>
            <w:pPr>
              <w:jc w:val="both"/>
            </w:pPr>
            <w:r>
              <w:rPr>
                <w:rFonts w:ascii="Times New Roman" w:hAnsi="Times New Roman"/>
                <w:sz w:val="18"/>
              </w:rPr>
              <w:t>Phạm Sỹ Tiến (2024): chất lượng chăm sóc → SKTT β = −0,40; chưa đo Rosenberg trên HSTHCS</w:t>
            </w:r>
          </w:p>
        </w:tc>
      </w:tr>
    </w:tbl>
    <w:p>
      <w:pPr>
        <w:pStyle w:val="Heading1"/>
      </w:pPr>
      <w:r>
        <w:rPr>
          <w:rFonts w:ascii="Times New Roman" w:hAnsi="Times New Roman"/>
          <w:color w:val="000000"/>
        </w:rPr>
        <w:t>5. Bàn luận</w:t>
      </w:r>
    </w:p>
    <w:p>
      <w:pPr>
        <w:pStyle w:val="Heading2"/>
      </w:pPr>
      <w:r>
        <w:rPr>
          <w:rFonts w:ascii="Times New Roman" w:hAnsi="Times New Roman"/>
          <w:color w:val="000000"/>
        </w:rPr>
        <w:t>5.1. Tổng hợp năm nhóm yếu tố nguy cơ</w:t>
      </w:r>
    </w:p>
    <w:p>
      <w:pPr>
        <w:ind w:firstLine="567"/>
        <w:jc w:val="both"/>
      </w:pPr>
      <w:r>
        <w:rPr>
          <w:rFonts w:ascii="Times New Roman" w:hAnsi="Times New Roman"/>
          <w:b w:val="0"/>
          <w:i w:val="0"/>
          <w:sz w:val="26"/>
        </w:rPr>
        <w:t>Năm nhóm yếu tố nguy cơ được phân tích ở chương đều có bằng chứng quốc tế ở mức phân tích tổng hợp với độ tin cậy cao và đều đã được ghi nhận trong các nghiên cứu Việt Nam ở quy mô khu vực hoặc đa tỉnh. Áp lực học tập và lòng tự trọng có khả năng là hai trục trung tâm — áp lực là yếu tố môi trường có tác động lớn và đo lường được, còn lòng tự trọng là biến trung gian giải thích phần lớn cơ chế. Bắt nạt — cả thể chất lẫn phi thể chất — đóng vai trò yếu tố nguy cơ thứ ba, đặc biệt khi đồng phơi nhiễm với hỗ trợ xã hội thấp. Nghiện điện thoại thông minh và mạng xã hội là yếu tố mới nổi, có bằng chứng quốc tế đủ mạnh nhưng còn hạn chế về thang đo trong nước. Sự đồng phơi nhiễm và các tương tác giữa năm nhóm tạo nên một bức tranh nguy cơ phức hợp mà các nghiên cứu đo từng yếu tố riêng chưa thể bóc tách đầy đủ.</w:t>
      </w:r>
    </w:p>
    <w:p>
      <w:pPr>
        <w:pStyle w:val="Heading2"/>
      </w:pPr>
      <w:r>
        <w:rPr>
          <w:rFonts w:ascii="Times New Roman" w:hAnsi="Times New Roman"/>
          <w:color w:val="000000"/>
        </w:rPr>
        <w:t>5.2. Năm khoảng trống chính trong nghiên cứu trong nước</w:t>
      </w:r>
    </w:p>
    <w:p>
      <w:pPr>
        <w:ind w:firstLine="567"/>
        <w:jc w:val="both"/>
      </w:pPr>
      <w:r>
        <w:rPr>
          <w:rFonts w:ascii="Times New Roman" w:hAnsi="Times New Roman"/>
          <w:b w:val="0"/>
          <w:i w:val="0"/>
          <w:sz w:val="26"/>
        </w:rPr>
        <w:t>Trên cơ sở phân tích chi tiết năm nhóm yếu tố nguy cơ ở phần kết quả nghiên cứu, năm khoảng trống chính được nhận diện. Thứ nhất, thiếu dữ liệu nghiên cứu dọc ở lứa tuổi 11–15 — công trình ba năm của Trần Thảo Vi và cộng sự (2024) trên học sinh Huế là một ngoại lệ quan trọng nhưng cỡ mẫu nhỏ và phạm vi địa lý hẹp. Thứ hai, học sinh dân tộc thiểu số và học sinh nội trú gần như chưa được khảo sát hệ thống, ngoại trừ nghiên cứu của Ngô Anh Vinh và cộng sự (2024) tại Lạng Sơn. Thứ ba, mô hình nguy cơ kết hợp chưa được kiểm định — phần lớn nghiên cứu Việt Nam đo nguy cơ đơn lẻ trong khi bằng chứng quốc tế cho thấy hiệu ứng cộng dồn vượt xa tổng các hiệu ứng đơn. Thứ tư, lòng tự trọng và các yếu tố tâm lý nội tại thường bị bỏ qua hoặc đo gián tiếp qua các thang lo âu chung. Thứ năm, bắt nạt mạng chưa có thang đo chuẩn hóa tiếng Việt và chưa được tích hợp vào điều tra dịch tễ quốc gia.</w:t>
      </w:r>
    </w:p>
    <w:p>
      <w:pPr>
        <w:pStyle w:val="Heading2"/>
      </w:pPr>
      <w:r>
        <w:rPr>
          <w:rFonts w:ascii="Times New Roman" w:hAnsi="Times New Roman"/>
          <w:color w:val="000000"/>
        </w:rPr>
        <w:t>5.3. Khác biệt vùng miền và yếu tố giới tính</w:t>
      </w:r>
    </w:p>
    <w:p>
      <w:pPr>
        <w:ind w:firstLine="567"/>
        <w:jc w:val="both"/>
      </w:pPr>
      <w:r>
        <w:rPr>
          <w:rFonts w:ascii="Times New Roman" w:hAnsi="Times New Roman"/>
          <w:b w:val="0"/>
          <w:i w:val="0"/>
          <w:sz w:val="26"/>
        </w:rPr>
        <w:t>Một quan sát đáng chú ý từ các nghiên cứu tại Việt Nam là sự bất cân xứng vùng miền trong gánh nặng yếu tố nguy cơ. Học sinh ở khu vực đô thị có xu hướng phơi nhiễm cao hơn với áp lực học tập cường độ lớn và sử dụng điện thoại quá mức, trong khi học sinh ở khu vực nông thôn và dân tộc thiểu số dễ chịu ảnh hưởng của bắt nạt thể chất và hạn chế tiếp cận dịch vụ chăm sóc sức khỏe tâm thần. Sự khác biệt này không chỉ phản ánh điều kiện kinh tế – xã hội mà còn liên quan tới cấu trúc gia đình, văn hóa địa phương và mức độ phát triển hạ tầng y tế công cộng. Việc thiết kế can thiệp do đó cần được cá thể hóa theo bối cảnh vùng miền thay vì áp dụng một khuôn mẫu chung cho toàn quốc.</w:t>
      </w:r>
    </w:p>
    <w:p>
      <w:pPr>
        <w:ind w:firstLine="567"/>
        <w:jc w:val="both"/>
      </w:pPr>
      <w:r>
        <w:rPr>
          <w:rFonts w:ascii="Times New Roman" w:hAnsi="Times New Roman"/>
          <w:b w:val="0"/>
          <w:i w:val="0"/>
          <w:sz w:val="26"/>
        </w:rPr>
        <w:t>Bên cạnh đó, yếu tố giới tính cũng cần được khảo sát kỹ hơn trong các nghiên cứu tương lai. Phần lớn các phân tích quốc tế cho thấy nữ vị thành niên có nguy cơ rối loạn lo âu cao hơn nam, đặc biệt với lo âu xã hội và lo âu lan tỏa. Tuy nhiên, dữ liệu Việt Nam còn rời rạc về điểm này; một số khảo sát cho thấy chênh lệch giới rõ trong khi một số khác không tìm thấy ý nghĩa thống kê. Khả năng giải thích là sự khác biệt về văn hóa biểu lộ cảm xúc, kỳ vọng xã hội đối với nam và nữ, cũng như sự khác biệt trong cách tự báo cáo triệu chứng. Đây là một khoảng trống nghiên cứu quan trọng cần được lấp đầy bằng các nghiên cứu định tính bổ trợ và các phân tích phân tầng giới trong các khảo sát định lượng quy mô lớn.</w:t>
      </w:r>
    </w:p>
    <w:p>
      <w:pPr>
        <w:ind w:firstLine="567"/>
        <w:jc w:val="both"/>
      </w:pPr>
      <w:r>
        <w:rPr>
          <w:rFonts w:ascii="Times New Roman" w:hAnsi="Times New Roman"/>
          <w:b w:val="0"/>
          <w:i w:val="0"/>
          <w:sz w:val="26"/>
        </w:rPr>
        <w:t>Sự khác biệt vùng miền ở Việt Nam còn được thể hiện ở cấp tỉnh – thành phố cụ thể. Các nghiên cứu hiện có cho thấy Thành phố Hồ Chí Minh (Trần Hồ Vĩnh Lộc và cộng sự, 2024; Trúc Thanh Thái và cộng sự, 2026) báo cáo tỷ lệ triệu chứng lo âu cao hơn rõ rệt so với Hà Nội (Phạm Thị Thu Hoa và cộng sự, 2024 với 40,6% lo âu) và Huế (Trần Thảo Vi và cộng sự, 2024 dọc 3 năm). Tuy nhiên, sự khác biệt này có thể phản ánh nhiều yếu tố cùng lúc: công cụ đo khác nhau, cấu trúc mẫu khác nhau (mẫu trường chuyên so với mẫu phổ thông), và đặc thù đô thị – cường độ học tập – mật độ smartphone khác nhau. Các so sánh trực tiếp giữa các tỉnh – thành chỉ thực sự có giá trị khi sử dụng chung một bộ công cụ đo và một thiết kế chọn mẫu — điều mà V-NAMHS đã làm ở quy mô quốc gia nhưng chưa được lặp lại ở cấp tỉnh.</w:t>
      </w:r>
    </w:p>
    <w:p>
      <w:pPr>
        <w:pStyle w:val="Heading2"/>
      </w:pPr>
      <w:r>
        <w:rPr>
          <w:rFonts w:ascii="Times New Roman" w:hAnsi="Times New Roman"/>
          <w:color w:val="000000"/>
        </w:rPr>
        <w:t>5.4. Khoảng trống về thiết kế nghiên cứu</w:t>
      </w:r>
    </w:p>
    <w:p>
      <w:pPr>
        <w:ind w:firstLine="567"/>
        <w:jc w:val="both"/>
      </w:pPr>
      <w:r>
        <w:rPr>
          <w:rFonts w:ascii="Times New Roman" w:hAnsi="Times New Roman"/>
          <w:b w:val="0"/>
          <w:i w:val="0"/>
          <w:sz w:val="26"/>
        </w:rPr>
        <w:t>Bên cạnh năm khoảng trống nội dung, có ba khoảng trống thiết kế phương pháp luận đáng được nêu riêng. Khoảng trống đầu tiên là sự thống trị của thiết kế cắt ngang trong nghiên cứu trong nước. Khi phần lớn nghiên cứu là cắt ngang, các kết luận về quan hệ nhân – quả giữa yếu tố nguy cơ và lo âu bị giới hạn. Khoảng trống thứ hai là sự thiếu vắng các mẫu đại diện cấp quốc gia tách theo từng vùng — V-NAMHS là một bước tiến quan trọng nhưng tần suất lặp lại và mức phân giải theo cấp tỉnh chưa đủ để theo dõi diễn biến theo thời gian hoặc so sánh giữa các vùng cụ thể. Khoảng trống thứ ba là sự thiếu các nghiên cứu kết hợp định lượng và định tính theo thiết kế phương pháp hỗn hợp tuần tự — nơi định tính được dùng để giải thích các phát hiện định lượng và mở đường cho các thang đo mới.</w:t>
      </w:r>
    </w:p>
    <w:p>
      <w:pPr>
        <w:pStyle w:val="Heading2"/>
      </w:pPr>
      <w:r>
        <w:rPr>
          <w:rFonts w:ascii="Times New Roman" w:hAnsi="Times New Roman"/>
          <w:color w:val="000000"/>
        </w:rPr>
        <w:t>5.5. Khoảng trống về phương pháp phân tích</w:t>
      </w:r>
    </w:p>
    <w:p>
      <w:pPr>
        <w:ind w:firstLine="567"/>
        <w:jc w:val="both"/>
      </w:pPr>
      <w:r>
        <w:rPr>
          <w:rFonts w:ascii="Times New Roman" w:hAnsi="Times New Roman"/>
          <w:b w:val="0"/>
          <w:i w:val="0"/>
          <w:sz w:val="26"/>
        </w:rPr>
        <w:t>Tương tự, phương pháp phân tích cũng có hai khoảng trống phương pháp luận đáng kể. Một, các nghiên cứu Việt Nam phần lớn dừng ở hồi quy đa biến truyền thống, ít khi áp dụng mô hình phương trình cấu trúc (SEM) để kiểm định đường dẫn trung gian và tương tác — vốn là phương pháp phù hợp khi có biến trung gian nội tâm như lòng tự trọng. Hai, phân tích hồ sơ tiềm ẩn (LPA) và các phương pháp phân nhóm khác chưa được phổ biến, dẫn tới việc các "hồ sơ nguy cơ" ở học sinh Việt Nam chưa được xác định một cách hệ thống. Hai khoảng trống phương pháp này sẽ được xử lý chi tiết hơn ở chương phương pháp tiếp theo của luận án.</w:t>
      </w:r>
    </w:p>
    <w:p>
      <w:pPr>
        <w:pStyle w:val="Heading2"/>
      </w:pPr>
      <w:r>
        <w:rPr>
          <w:rFonts w:ascii="Times New Roman" w:hAnsi="Times New Roman"/>
          <w:color w:val="000000"/>
        </w:rPr>
        <w:t>5.6. Hàm ý chính sách và chuyển giao tri thức</w:t>
      </w:r>
    </w:p>
    <w:p>
      <w:pPr>
        <w:ind w:firstLine="567"/>
        <w:jc w:val="both"/>
      </w:pPr>
      <w:r>
        <w:rPr>
          <w:rFonts w:ascii="Times New Roman" w:hAnsi="Times New Roman"/>
          <w:b w:val="0"/>
          <w:i w:val="0"/>
          <w:sz w:val="26"/>
        </w:rPr>
        <w:t>Bên cạnh các khoảng trống nghiên cứu, các phát hiện được tổng hợp ở chương này có hàm ý chính sách trực tiếp cho công tác chăm sóc sức khỏe tâm thần học đường tại Việt Nam. Một, việc tích hợp đánh giá định kỳ về áp lực học tập và triệu chứng lo âu vào hoạt động khám sức khỏe học đường thường niên là khả thi với cấu trúc hiện hành và sẽ giúp phát hiện sớm các trường hợp có nguy cơ cao. Hai, đào tạo bồi dưỡng cho đội ngũ giáo viên chủ nhiệm và cán bộ tư vấn học đường về nhận diện sớm các dấu hiệu lo âu nội tâm — vốn dễ bị che lấp bởi biểu hiện học tập bề ngoài — cần được đưa vào chương trình bồi dưỡng định kỳ. Ba, một khung phối hợp liên ngành giữa Bộ Giáo dục và Đào tạo, Bộ Y tế và các cơ sở đào tạo tâm lý lâm sàng cần được thiết lập để đảm bảo các trường hợp được phát hiện có đường chuyển tuyến chuyên khoa hiệu quả.</w:t>
      </w:r>
    </w:p>
    <w:p>
      <w:pPr>
        <w:ind w:firstLine="567"/>
        <w:jc w:val="both"/>
      </w:pPr>
      <w:r>
        <w:rPr>
          <w:rFonts w:ascii="Times New Roman" w:hAnsi="Times New Roman"/>
          <w:b w:val="0"/>
          <w:i w:val="0"/>
          <w:sz w:val="26"/>
        </w:rPr>
        <w:t>Trên phương diện chuyển giao tri thức, kết quả nghiên cứu cần được trình bày ở nhiều cấp độ tiếp cận khác nhau. Đối với các nhà hoạch định chính sách, các bản tóm lược ngắn gọn về mức độ phổ biến, các yếu tố nguy cơ chính và hiệu quả của các can thiệp đã có bằng chứng là dạng sản phẩm phù hợp. Đối với giáo viên và cán bộ tư vấn học đường, các tài liệu hướng dẫn thực hành cụ thể — bao gồm các thang đo sàng lọc rút gọn, các tiêu chí cảnh báo, và các quy trình chuyển tuyến — sẽ có giá trị thực tế cao hơn. Đối với phụ huynh, các tài liệu truyền thông đại chúng về nhận diện sớm lo âu ở trẻ vị thành niên và các kênh hỗ trợ sẵn có sẽ giúp giảm tình trạng phát hiện muộn. Việc thiết kế đa dạng các sản phẩm chuyển giao này là một phần không tách rời của trách nhiệm khoa học trong các chương trình nghiên cứu được tài trợ công.</w:t>
      </w:r>
    </w:p>
    <w:p>
      <w:pPr>
        <w:pStyle w:val="Heading2"/>
      </w:pPr>
      <w:r>
        <w:rPr>
          <w:rFonts w:ascii="Times New Roman" w:hAnsi="Times New Roman"/>
          <w:color w:val="000000"/>
        </w:rPr>
        <w:t>5.7. Bốn hướng nghiên cứu ưu tiên cho giai đoạn 2026–2030</w:t>
      </w:r>
    </w:p>
    <w:p>
      <w:pPr>
        <w:ind w:firstLine="567"/>
        <w:jc w:val="both"/>
      </w:pPr>
      <w:r>
        <w:rPr>
          <w:rFonts w:ascii="Times New Roman" w:hAnsi="Times New Roman"/>
          <w:b w:val="0"/>
          <w:i w:val="0"/>
          <w:sz w:val="26"/>
        </w:rPr>
        <w:t>Trên cơ sở các khoảng trống, chương đề xuất bốn hướng nghiên cứu ưu tiên cho giai đoạn 2026–2030. Thứ nhất, triển khai nghiên cứu thuần tập dọc cấp quốc gia trên mẫu HSTHCS đại diện, bao gồm cả các yếu tố nguy cơ môi trường và yếu tố nội tâm. Thứ hai, tăng cường mẫu học sinh dân tộc thiểu số và học sinh vùng nông thôn, cân nhắc đặc thù văn hóa khi áp dụng các thang đo chuẩn hóa. Thứ ba, chuẩn hóa thang đo bắt nạt mạng tiếng Việt cùng việc tiêu chuẩn hóa ESSA cho áp lực học tập, thang Rosenberg cho lòng tự trọng và một thang nghiện smartphone cho lứa tuổi HSTHCS. Thứ tư, xây dựng các mô hình hồi quy đa biến tích hợp năm nhóm yếu tố đã trình bày, đồng thời mô hình hóa các quan hệ trung gian và tương tác để cung cấp căn cứ chuyển sang phần thứ hai của luận án về khoảng trống và thiết kế can thiệp.</w:t>
      </w:r>
    </w:p>
    <w:p>
      <w:pPr>
        <w:pStyle w:val="Heading2"/>
      </w:pPr>
      <w:r>
        <w:rPr>
          <w:rFonts w:ascii="Times New Roman" w:hAnsi="Times New Roman"/>
          <w:color w:val="000000"/>
        </w:rPr>
        <w:t>5.8. Phối hợp ba cấp độ để các hướng nghiên cứu khả thi</w:t>
      </w:r>
    </w:p>
    <w:p>
      <w:pPr>
        <w:ind w:firstLine="567"/>
        <w:jc w:val="both"/>
      </w:pPr>
      <w:r>
        <w:rPr>
          <w:rFonts w:ascii="Times New Roman" w:hAnsi="Times New Roman"/>
          <w:b w:val="0"/>
          <w:i w:val="0"/>
          <w:sz w:val="26"/>
        </w:rPr>
        <w:t>Để các hướng nghiên cứu này khả thi, các nhà nghiên cứu, cơ sở đào tạo và cơ quan quản lý cần phối hợp ở ba cấp độ. Cấp độ phương pháp đòi hỏi đầu tư vào năng lực nghiên cứu dọc — chuẩn hóa quy trình theo dõi, công cụ đo lường lặp lại theo thời gian và phân tích dữ liệu chiều dọc. Cấp độ thể chế đòi hỏi xây dựng hệ thống đăng ký dữ liệu sức khỏe tâm thần học đường, bảo đảm tuân thủ đạo đức nghiên cứu và bảo mật dữ liệu cá nhân — đặc biệt khi đối tượng là vị thành niên. Cấp độ chính sách đòi hỏi khung pháp lý hỗ trợ chia sẻ dữ liệu giữa ngành Giáo dục và ngành Y tế, đồng thời cung cấp tài trợ ổn định cho các nghiên cứu nhiều năm.</w:t>
      </w:r>
    </w:p>
    <w:p>
      <w:pPr>
        <w:ind w:firstLine="567"/>
        <w:jc w:val="both"/>
      </w:pPr>
      <w:r>
        <w:rPr>
          <w:rFonts w:ascii="Times New Roman" w:hAnsi="Times New Roman"/>
          <w:b w:val="0"/>
          <w:i w:val="0"/>
          <w:sz w:val="26"/>
        </w:rPr>
        <w:t>Tổng hợp các khoảng trống đã trình bày ở các mục con phía trên — bao gồm cả khoảng trống nội dung (năm điểm) và khoảng trống thiết kế – phân tích — bảng dưới đây trình bày bảy khoảng trống chính kèm hướng giải quyết đề xuất, sắp xếp theo thứ tự ưu tiên triển khai cho giai đoạn 2026–2030 và là cơ sở để các chương phương pháp và can thiệp tiếp theo của luận án thiết kế các nội dung tương ứng.</w:t>
      </w:r>
    </w:p>
    <w:p>
      <w:pPr>
        <w:jc w:val="center"/>
      </w:pPr>
      <w:r>
        <w:rPr>
          <w:rFonts w:ascii="Times New Roman" w:hAnsi="Times New Roman"/>
          <w:b/>
          <w:i/>
          <w:sz w:val="22"/>
        </w:rPr>
        <w:t>Bảng 3. Bảy khoảng trống nghiên cứu chính trong nước và hướng giải quyết đề xuất.</w:t>
      </w:r>
    </w:p>
    <w:tbl>
      <w:tblPr>
        <w:tblStyle w:val="TableGrid"/>
        <w:tblW w:type="auto" w:w="0"/>
        <w:jc w:val="center"/>
        <w:tblLook w:firstColumn="1" w:firstRow="1" w:lastColumn="0" w:lastRow="0" w:noHBand="0" w:noVBand="1" w:val="04A0"/>
        <w:tblLayout w:type="fixed"/>
      </w:tblPr>
      <w:tblGrid>
        <w:gridCol w:w="3402"/>
        <w:gridCol w:w="5386"/>
      </w:tblGrid>
      <w:tr>
        <w:tc>
          <w:tcPr>
            <w:tcW w:w="3402" w:type="dxa"/>
            <w:shd w:fill="D9E2F3" w:val="clear"/>
          </w:tcPr>
          <w:p>
            <w:pPr>
              <w:jc w:val="center"/>
            </w:pPr>
            <w:r>
              <w:rPr>
                <w:rFonts w:ascii="Times New Roman" w:hAnsi="Times New Roman"/>
                <w:b/>
                <w:sz w:val="20"/>
              </w:rPr>
              <w:t>Khoảng trống</w:t>
            </w:r>
          </w:p>
        </w:tc>
        <w:tc>
          <w:tcPr>
            <w:tcW w:w="5386" w:type="dxa"/>
            <w:shd w:fill="D9E2F3" w:val="clear"/>
          </w:tcPr>
          <w:p>
            <w:pPr>
              <w:jc w:val="center"/>
            </w:pPr>
            <w:r>
              <w:rPr>
                <w:rFonts w:ascii="Times New Roman" w:hAnsi="Times New Roman"/>
                <w:b/>
                <w:sz w:val="20"/>
              </w:rPr>
              <w:t>Hướng giải quyết đề xuất</w:t>
            </w:r>
          </w:p>
        </w:tc>
      </w:tr>
      <w:tr>
        <w:tc>
          <w:tcPr>
            <w:tcW w:w="3402" w:type="dxa"/>
          </w:tcPr>
          <w:p>
            <w:pPr>
              <w:jc w:val="both"/>
            </w:pPr>
            <w:r>
              <w:rPr>
                <w:rFonts w:ascii="Times New Roman" w:hAnsi="Times New Roman"/>
                <w:sz w:val="20"/>
              </w:rPr>
              <w:t>1. Thiếu NC dọc ở lứa tuổi 11–15</w:t>
            </w:r>
          </w:p>
        </w:tc>
        <w:tc>
          <w:tcPr>
            <w:tcW w:w="5386" w:type="dxa"/>
          </w:tcPr>
          <w:p>
            <w:pPr>
              <w:jc w:val="both"/>
            </w:pPr>
            <w:r>
              <w:rPr>
                <w:rFonts w:ascii="Times New Roman" w:hAnsi="Times New Roman"/>
                <w:sz w:val="20"/>
              </w:rPr>
              <w:t>Triển khai thuần tập dọc cấp quốc gia, đo lặp 2–3 đợt qua các năm THCS; trùng các thời điểm chuyển cấp</w:t>
            </w:r>
          </w:p>
        </w:tc>
      </w:tr>
      <w:tr>
        <w:tc>
          <w:tcPr>
            <w:tcW w:w="3402" w:type="dxa"/>
          </w:tcPr>
          <w:p>
            <w:pPr>
              <w:jc w:val="both"/>
            </w:pPr>
            <w:r>
              <w:rPr>
                <w:rFonts w:ascii="Times New Roman" w:hAnsi="Times New Roman"/>
                <w:sz w:val="20"/>
              </w:rPr>
              <w:t>2. Mẫu DTTS và nông thôn chưa đủ</w:t>
            </w:r>
          </w:p>
        </w:tc>
        <w:tc>
          <w:tcPr>
            <w:tcW w:w="5386" w:type="dxa"/>
          </w:tcPr>
          <w:p>
            <w:pPr>
              <w:jc w:val="both"/>
            </w:pPr>
            <w:r>
              <w:rPr>
                <w:rFonts w:ascii="Times New Roman" w:hAnsi="Times New Roman"/>
                <w:sz w:val="20"/>
              </w:rPr>
              <w:t>Thiết kế mẫu phân tầng có quá đại diện DTTS và nông thôn; áp dụng thang đo có kiểm định văn hóa</w:t>
            </w:r>
          </w:p>
        </w:tc>
      </w:tr>
      <w:tr>
        <w:tc>
          <w:tcPr>
            <w:tcW w:w="3402" w:type="dxa"/>
          </w:tcPr>
          <w:p>
            <w:pPr>
              <w:jc w:val="both"/>
            </w:pPr>
            <w:r>
              <w:rPr>
                <w:rFonts w:ascii="Times New Roman" w:hAnsi="Times New Roman"/>
                <w:sz w:val="20"/>
              </w:rPr>
              <w:t>3. Chưa kiểm định mô hình nguy cơ kết hợp</w:t>
            </w:r>
          </w:p>
        </w:tc>
        <w:tc>
          <w:tcPr>
            <w:tcW w:w="5386" w:type="dxa"/>
          </w:tcPr>
          <w:p>
            <w:pPr>
              <w:jc w:val="both"/>
            </w:pPr>
            <w:r>
              <w:rPr>
                <w:rFonts w:ascii="Times New Roman" w:hAnsi="Times New Roman"/>
                <w:sz w:val="20"/>
              </w:rPr>
              <w:t>Áp dụng SEM trung gian và phân tích hồ sơ tiềm ẩn (LPA) để phát hiện tương tác và hồ sơ nguy cơ</w:t>
            </w:r>
          </w:p>
        </w:tc>
      </w:tr>
      <w:tr>
        <w:tc>
          <w:tcPr>
            <w:tcW w:w="3402" w:type="dxa"/>
          </w:tcPr>
          <w:p>
            <w:pPr>
              <w:jc w:val="both"/>
            </w:pPr>
            <w:r>
              <w:rPr>
                <w:rFonts w:ascii="Times New Roman" w:hAnsi="Times New Roman"/>
                <w:sz w:val="20"/>
              </w:rPr>
              <w:t>4. Lòng tự trọng &amp; yếu tố nội tâm bị bỏ qua</w:t>
            </w:r>
          </w:p>
        </w:tc>
        <w:tc>
          <w:tcPr>
            <w:tcW w:w="5386" w:type="dxa"/>
          </w:tcPr>
          <w:p>
            <w:pPr>
              <w:jc w:val="both"/>
            </w:pPr>
            <w:r>
              <w:rPr>
                <w:rFonts w:ascii="Times New Roman" w:hAnsi="Times New Roman"/>
                <w:sz w:val="20"/>
              </w:rPr>
              <w:t>Kiểm định Rosenberg phiên bản tiếng Việt cho HSTHCS; tích hợp đo lường nội tâm vào điều tra dịch tễ</w:t>
            </w:r>
          </w:p>
        </w:tc>
      </w:tr>
      <w:tr>
        <w:tc>
          <w:tcPr>
            <w:tcW w:w="3402" w:type="dxa"/>
          </w:tcPr>
          <w:p>
            <w:pPr>
              <w:jc w:val="both"/>
            </w:pPr>
            <w:r>
              <w:rPr>
                <w:rFonts w:ascii="Times New Roman" w:hAnsi="Times New Roman"/>
                <w:sz w:val="20"/>
              </w:rPr>
              <w:t>5. Chưa có thang đo bắt nạt mạng tiếng Việt</w:t>
            </w:r>
          </w:p>
        </w:tc>
        <w:tc>
          <w:tcPr>
            <w:tcW w:w="5386" w:type="dxa"/>
          </w:tcPr>
          <w:p>
            <w:pPr>
              <w:jc w:val="both"/>
            </w:pPr>
            <w:r>
              <w:rPr>
                <w:rFonts w:ascii="Times New Roman" w:hAnsi="Times New Roman"/>
                <w:sz w:val="20"/>
              </w:rPr>
              <w:t>Chuẩn hóa Cyberbullying &amp; Online Aggression Survey hoặc Olweus rút gọn cho tiếng Việt; tích hợp vào V-NAMHS phiên bản sau</w:t>
            </w:r>
          </w:p>
        </w:tc>
      </w:tr>
      <w:tr>
        <w:tc>
          <w:tcPr>
            <w:tcW w:w="3402" w:type="dxa"/>
          </w:tcPr>
          <w:p>
            <w:pPr>
              <w:jc w:val="both"/>
            </w:pPr>
            <w:r>
              <w:rPr>
                <w:rFonts w:ascii="Times New Roman" w:hAnsi="Times New Roman"/>
                <w:sz w:val="20"/>
              </w:rPr>
              <w:t>6. Cắt ngang thống trị, ít NC phương pháp hỗn hợp</w:t>
            </w:r>
          </w:p>
        </w:tc>
        <w:tc>
          <w:tcPr>
            <w:tcW w:w="5386" w:type="dxa"/>
          </w:tcPr>
          <w:p>
            <w:pPr>
              <w:jc w:val="both"/>
            </w:pPr>
            <w:r>
              <w:rPr>
                <w:rFonts w:ascii="Times New Roman" w:hAnsi="Times New Roman"/>
                <w:sz w:val="20"/>
              </w:rPr>
              <w:t>Khuyến khích các thiết kế dọc và phương pháp hỗn hợp tuần tự (định lượng → định tính)</w:t>
            </w:r>
          </w:p>
        </w:tc>
      </w:tr>
      <w:tr>
        <w:tc>
          <w:tcPr>
            <w:tcW w:w="3402" w:type="dxa"/>
          </w:tcPr>
          <w:p>
            <w:pPr>
              <w:jc w:val="both"/>
            </w:pPr>
            <w:r>
              <w:rPr>
                <w:rFonts w:ascii="Times New Roman" w:hAnsi="Times New Roman"/>
                <w:sz w:val="20"/>
              </w:rPr>
              <w:t>7. Khoảng trống tương tác chéo các yếu tố</w:t>
            </w:r>
          </w:p>
        </w:tc>
        <w:tc>
          <w:tcPr>
            <w:tcW w:w="5386" w:type="dxa"/>
          </w:tcPr>
          <w:p>
            <w:pPr>
              <w:jc w:val="both"/>
            </w:pPr>
            <w:r>
              <w:rPr>
                <w:rFonts w:ascii="Times New Roman" w:hAnsi="Times New Roman"/>
                <w:sz w:val="20"/>
              </w:rPr>
              <w:t>Kiểm định tương tác (áp lực × tự trọng, bắt nạt × hỗ trợ xã hội, smartphone × áp lực) trong mô hình hồi quy và SEM</w:t>
            </w:r>
          </w:p>
        </w:tc>
      </w:tr>
    </w:tbl>
    <w:p>
      <w:pPr>
        <w:pStyle w:val="Heading2"/>
      </w:pPr>
      <w:r>
        <w:rPr>
          <w:rFonts w:ascii="Times New Roman" w:hAnsi="Times New Roman"/>
          <w:color w:val="000000"/>
        </w:rPr>
        <w:t>5.9. Hàm ý cho các chương tiếp theo của luận án</w:t>
      </w:r>
    </w:p>
    <w:p>
      <w:pPr>
        <w:ind w:firstLine="567"/>
        <w:jc w:val="both"/>
      </w:pPr>
      <w:r>
        <w:rPr>
          <w:rFonts w:ascii="Times New Roman" w:hAnsi="Times New Roman"/>
          <w:b w:val="0"/>
          <w:i w:val="0"/>
          <w:sz w:val="26"/>
        </w:rPr>
        <w:t>Chương này đặt nền lý thuyết và bối cảnh cho các chương tiếp theo của luận án. Chương phương pháp sẽ trình bày quy trình xây dựng và kiểm định thang đo cho năm nhóm yếu tố nguy cơ trên mẫu HSTHCS Việt Nam, tham chiếu trực tiếp đến các thang đo quốc tế được đề cập ở chương này (ESSA, Rosenberg, các thang bắt nạt, thang nghiện smartphone, GAD-7 hoặc tương đương). Chương phân tích sẽ áp dụng mô hình phương trình cấu trúc và phân tích hồ sơ tiềm ẩn để kiểm định các đường dẫn trung gian và tương tác đã đề xuất, đặc biệt vai trò trung gian của lòng tự trọng giữa các yếu tố môi trường và lo âu. Chương can thiệp — chia sẻ chuỗi với bài thứ hai cùng loạt — sẽ xây dựng và thử nghiệm một chương trình can thiệp đa thành phần dựa trên khung sinh thái ba tầng được giới thiệu ở mục 2 của chương này. Bằng cách giữ tính liên tục giữa khung lý thuyết, thiết kế đo lường và can thiệp thực địa, luận án hướng tới một đóng góp tổng thể thay vì các nghiên cứu rời rạc.</w:t>
      </w:r>
    </w:p>
    <w:p>
      <w:pPr>
        <w:pStyle w:val="Heading1"/>
      </w:pPr>
      <w:r>
        <w:rPr>
          <w:rFonts w:ascii="Times New Roman" w:hAnsi="Times New Roman"/>
          <w:color w:val="000000"/>
        </w:rPr>
        <w:t>6. Kết luận chương</w:t>
      </w:r>
    </w:p>
    <w:p>
      <w:pPr>
        <w:ind w:firstLine="567"/>
        <w:jc w:val="both"/>
      </w:pPr>
      <w:r>
        <w:rPr>
          <w:rFonts w:ascii="Times New Roman" w:hAnsi="Times New Roman"/>
          <w:b w:val="0"/>
          <w:i w:val="0"/>
          <w:sz w:val="26"/>
        </w:rPr>
        <w:t>Chương đã hệ thống hóa năm nhóm yếu tố nguy cơ rối loạn lo âu ở HSTHCS Việt Nam: áp lực học tập, nghiện điện thoại thông minh và mạng xã hội, bắt nạt thể chất, bắt nạt bằng lời nói cùng bắt nạt mạng, và lòng tự trọng thấp. Đối với mỗi nhóm, bằng chứng quốc tế đã đạt tới mức phân tích tổng hợp với độ tin cậy cao, trong khi bằng chứng tại Việt Nam mới dừng ở các nghiên cứu cắt ngang quy mô khu vực hoặc đa tỉnh hỗn hợp THCS – THPT. Khung tích hợp ba tầng (cá nhân – gia đình – trường và xã hội) cùng vai trò trung gian của lòng tự trọng và năng lực đối phó được đề xuất làm khuôn khổ phân tích cho toàn luận án.</w:t>
      </w:r>
    </w:p>
    <w:p>
      <w:pPr>
        <w:ind w:firstLine="567"/>
        <w:jc w:val="both"/>
      </w:pPr>
      <w:r>
        <w:rPr>
          <w:rFonts w:ascii="Times New Roman" w:hAnsi="Times New Roman"/>
          <w:b w:val="0"/>
          <w:i w:val="0"/>
          <w:sz w:val="26"/>
        </w:rPr>
        <w:t>Năm khoảng trống chính trong nghiên cứu trong nước đã được nhận diện: thiếu dữ liệu dọc, thiếu mẫu dân tộc thiểu số, thiếu mô hình nguy cơ kết hợp, thiếu đo lường trực tiếp lòng tự trọng, và thiếu thang đo bắt nạt mạng chuẩn hóa. Bốn hướng nghiên cứu ưu tiên cho giai đoạn 2026–2030 đã được đề xuất, kèm theo các yêu cầu phối hợp ở ba cấp độ phương pháp – thể chế – chính sách. Cùng với bài viết thứ hai trong chuỗi về khoảng trống can thiệp, chương cung cấp một bức tranh tổng thể về tình hình nghiên cứu rối loạn lo âu ở HSTHCS Việt Nam, đặt nền cho việc xây dựng các chương phương pháp và can thiệp tiếp theo của luận án trên cơ sở khung lý thuyết tích hợp.</w:t>
      </w:r>
    </w:p>
    <w:p>
      <w:pPr>
        <w:ind w:firstLine="567"/>
        <w:jc w:val="both"/>
      </w:pPr>
      <w:r>
        <w:rPr>
          <w:rFonts w:ascii="Times New Roman" w:hAnsi="Times New Roman"/>
          <w:b w:val="0"/>
          <w:i w:val="0"/>
          <w:sz w:val="26"/>
        </w:rPr>
        <w:t>Đóng góp khoa học của chương nằm ở ba điểm. Thứ nhất, hệ thống hóa lần đầu tiên trong tài liệu tiếng Việt năm nhóm yếu tố nguy cơ rối loạn lo âu cho HSTHCS theo khung tích hợp ba tầng. Thứ hai, đề xuất một khung phương pháp luận — bao gồm thiết kế dọc, phân tích trung gian SEM và phân tích hồ sơ tiềm ẩn — phù hợp cho các nghiên cứu Việt Nam tương lai. Thứ ba, nhận diện các khoảng trống cụ thể về thang đo, đối tượng và phương pháp, cung cấp một lộ trình nghiên cứu rõ ràng cho giai đoạn 2026–2030. Chương kết thúc bằng việc khẳng định rằng nâng cao chất lượng dữ liệu và mô hình hóa kết hợp các yếu tố nguy cơ là điều kiện tiên quyết để các nghiên cứu can thiệp tương lai có cơ sở thực nghiệm vững chắc.</w:t>
      </w:r>
    </w:p>
    <w:p>
      <w:pPr>
        <w:pStyle w:val="Heading1"/>
      </w:pPr>
      <w:r>
        <w:rPr>
          <w:rFonts w:ascii="Times New Roman" w:hAnsi="Times New Roman"/>
          <w:color w:val="000000"/>
        </w:rPr>
        <w:t>7. Tài liệu tham khảo</w:t>
      </w:r>
    </w:p>
    <w:p>
      <w:pPr>
        <w:spacing w:line="312" w:lineRule="auto"/>
        <w:ind w:left="567" w:hanging="567"/>
        <w:jc w:val="both"/>
      </w:pPr>
      <w:r>
        <w:rPr>
          <w:rFonts w:ascii="Times New Roman" w:hAnsi="Times New Roman"/>
          <w:sz w:val="24"/>
        </w:rPr>
        <w:t>Brunborg, G. S., Nilsen, S. A., Skogen, J. C., &amp; Bang, L. (2025). Possible explanations for the upward trend in mental distress among adolescents in Norway from 2011 to 2024. Social Science &amp; Medicine, 384, Article 118528. https://doi.org/10.1016/j.socscimed.2025.118528</w:t>
      </w:r>
    </w:p>
    <w:p>
      <w:pPr>
        <w:spacing w:line="312" w:lineRule="auto"/>
        <w:ind w:left="567" w:hanging="567"/>
        <w:jc w:val="both"/>
      </w:pPr>
      <w:r>
        <w:rPr>
          <w:rFonts w:ascii="Times New Roman" w:hAnsi="Times New Roman"/>
          <w:sz w:val="24"/>
        </w:rPr>
        <w:t>Chen, Z., Ren, S., He, R., Liang, Y., Tan, Y., Liu, Y., Wang, F., Shao, X., Chen, S., Liao, Y., He, Y., Li, J.-G., Chen, X., &amp; Tang, J. (2023). Prevalence and associated factors of depressive and anxiety symptoms among Chinese secondary school students. BMC Psychiatry, 23, Article 580. https://doi.org/10.1186/s12888-023-05068-1</w:t>
      </w:r>
    </w:p>
    <w:p>
      <w:pPr>
        <w:spacing w:line="312" w:lineRule="auto"/>
        <w:ind w:left="567" w:hanging="567"/>
        <w:jc w:val="both"/>
      </w:pPr>
      <w:r>
        <w:rPr>
          <w:rFonts w:ascii="Times New Roman" w:hAnsi="Times New Roman"/>
          <w:sz w:val="24"/>
        </w:rPr>
        <w:t>Compas, B. E., Jaser, S. S., Bettis, A. H., Watson, K. H., Gruhn, M. A., Dunbar, J. P., Williams, E., &amp; Thigpen, J. C. (2017). Coping, emotion regulation, and psychopathology in childhood and adolescence: A meta-analysis and narrative review. Psychological Bulletin, 143(9), 939–991. https://doi.org/10.1037/bul0000110</w:t>
      </w:r>
    </w:p>
    <w:p>
      <w:pPr>
        <w:spacing w:line="312" w:lineRule="auto"/>
        <w:ind w:left="567" w:hanging="567"/>
        <w:jc w:val="both"/>
      </w:pPr>
      <w:r>
        <w:rPr>
          <w:rFonts w:ascii="Times New Roman" w:hAnsi="Times New Roman"/>
          <w:sz w:val="24"/>
        </w:rPr>
        <w:t>Đinh Thị Hồng Vân, Đỗ Thị Lê Hằng, &amp; Phan Thị Mai Hương. (2021). School factors causing Vietnamese adolescents' anxiety in secondary schools. Psychology and Education, 58(1), 883–894.</w:t>
      </w:r>
    </w:p>
    <w:p>
      <w:pPr>
        <w:spacing w:line="312" w:lineRule="auto"/>
        <w:ind w:left="567" w:hanging="567"/>
        <w:jc w:val="both"/>
      </w:pPr>
      <w:r>
        <w:rPr>
          <w:rFonts w:ascii="Times New Roman" w:hAnsi="Times New Roman"/>
          <w:sz w:val="24"/>
        </w:rPr>
        <w:t>Fassi, L., Ferguson, A. M., Przybylski, A. K., Ford, T. J., &amp; Orben, A. (2025). Social media use in adolescents with and without mental health conditions. Nature Human Behaviour, 9(6), 1283–1299. https://doi.org/10.1038/s41562-025-02134-4</w:t>
      </w:r>
    </w:p>
    <w:p>
      <w:pPr>
        <w:spacing w:line="312" w:lineRule="auto"/>
        <w:ind w:left="567" w:hanging="567"/>
        <w:jc w:val="both"/>
      </w:pPr>
      <w:r>
        <w:rPr>
          <w:rFonts w:ascii="Times New Roman" w:hAnsi="Times New Roman"/>
          <w:sz w:val="24"/>
        </w:rPr>
        <w:t>Hoàng Trung Học, &amp; Nguyễn Thùy Dung. (2025). Levels of stress, anxiety, and depression in adolescents during and after the COVID-19 pandemic in Vietnam: A cross-sectional study. American Journal of Psychiatric Rehabilitation, 28(1), 360–367. https://doi.org/10.69980/ajpr.v28i1.105</w:t>
      </w:r>
    </w:p>
    <w:p>
      <w:pPr>
        <w:spacing w:line="312" w:lineRule="auto"/>
        <w:ind w:left="567" w:hanging="567"/>
        <w:jc w:val="both"/>
      </w:pPr>
      <w:r>
        <w:rPr>
          <w:rFonts w:ascii="Times New Roman" w:hAnsi="Times New Roman"/>
          <w:sz w:val="24"/>
        </w:rPr>
        <w:t>Jagiello, T., Belcher, J., Neelakandan, A., Boyd, K., &amp; Wuthrich, V. M. (2025). Academic stress interventions in high schools: A systematic literature review. Child Psychiatry &amp; Human Development, 56(6), 1836–1869. https://doi.org/10.1007/s10578-024-01667-5</w:t>
      </w:r>
    </w:p>
    <w:p>
      <w:pPr>
        <w:spacing w:line="312" w:lineRule="auto"/>
        <w:ind w:left="567" w:hanging="567"/>
        <w:jc w:val="both"/>
      </w:pPr>
      <w:r>
        <w:rPr>
          <w:rFonts w:ascii="Times New Roman" w:hAnsi="Times New Roman"/>
          <w:sz w:val="24"/>
        </w:rPr>
        <w:t>Lee, J., Choo, H., Zhang, Y., Cheung, H. S., Zhang, Q., &amp; Ang, R. P. (2026). Cyberbullying victimization and mental health symptoms among children and adolescents: A meta-analysis of longitudinal studies. Trauma, Violence, &amp; Abuse, 27(2), 391–406. https://doi.org/10.1177/15248380241313051</w:t>
      </w:r>
    </w:p>
    <w:p>
      <w:pPr>
        <w:spacing w:line="312" w:lineRule="auto"/>
        <w:ind w:left="567" w:hanging="567"/>
        <w:jc w:val="both"/>
      </w:pPr>
      <w:r>
        <w:rPr>
          <w:rFonts w:ascii="Times New Roman" w:hAnsi="Times New Roman"/>
          <w:sz w:val="24"/>
        </w:rPr>
        <w:t>Moore, S. E., Norman, R. E., Suetani, S., Thomas, H. J., Sly, P. D., &amp; Scott, J. G. (2017). Consequences of bullying victimization in childhood and adolescence: A systematic review and meta-analysis. World Journal of Psychiatry, 7(1), 60–76. https://doi.org/10.5498/wjp.v7.i1.60</w:t>
      </w:r>
    </w:p>
    <w:p>
      <w:pPr>
        <w:spacing w:line="312" w:lineRule="auto"/>
        <w:ind w:left="567" w:hanging="567"/>
        <w:jc w:val="both"/>
      </w:pPr>
      <w:r>
        <w:rPr>
          <w:rFonts w:ascii="Times New Roman" w:hAnsi="Times New Roman"/>
          <w:sz w:val="24"/>
        </w:rPr>
        <w:t>Ngô Anh Vinh, Vũ Thị Mỹ Hạnh, Đỗ Thị Bích Vân, Dương Anh Tài, Đỗ Minh Loan, &amp; Lê Thị Thanh Thùy. (2024). Mental health among ethnic minority adolescents in Vietnam and correlated factors: A cross-sectional study. Journal of Affective Disorders Reports, 17, Article 100795. https://doi.org/10.1016/j.jadr.2024.100795</w:t>
      </w:r>
    </w:p>
    <w:p>
      <w:pPr>
        <w:spacing w:line="312" w:lineRule="auto"/>
        <w:ind w:left="567" w:hanging="567"/>
        <w:jc w:val="both"/>
      </w:pPr>
      <w:r>
        <w:rPr>
          <w:rFonts w:ascii="Times New Roman" w:hAnsi="Times New Roman"/>
          <w:sz w:val="24"/>
        </w:rPr>
        <w:t>Pascoe, M. C., Hetrick, S. E., &amp; Parker, A. G. (2020). The impact of stress on students in secondary school and higher education. International Journal of Adolescence and Youth, 25(1), 104–112. https://doi.org/10.1080/02673843.2019.1596823</w:t>
      </w:r>
    </w:p>
    <w:p>
      <w:pPr>
        <w:spacing w:line="312" w:lineRule="auto"/>
        <w:ind w:left="567" w:hanging="567"/>
        <w:jc w:val="both"/>
      </w:pPr>
      <w:r>
        <w:rPr>
          <w:rFonts w:ascii="Times New Roman" w:hAnsi="Times New Roman"/>
          <w:sz w:val="24"/>
        </w:rPr>
        <w:t>Phạm Sỹ Tiến, Dương Thị Thanh Thanh, Nguyễn Thị Hoài Phương, &amp; Trương Thị Xuân Nhi. (2024). The correlation between quality of care and mental health and behavioral problems among Vietnamese adolescents in social support facilities. Journal of Indian Association for Child and Adolescent Mental Health, 20(4), 373–381. https://doi.org/10.1177/09731342241275742</w:t>
      </w:r>
    </w:p>
    <w:p>
      <w:pPr>
        <w:spacing w:line="312" w:lineRule="auto"/>
        <w:ind w:left="567" w:hanging="567"/>
        <w:jc w:val="both"/>
      </w:pPr>
      <w:r>
        <w:rPr>
          <w:rFonts w:ascii="Times New Roman" w:hAnsi="Times New Roman"/>
          <w:sz w:val="24"/>
        </w:rPr>
        <w:t>Phạm Thị Ngọc, Hoàng Thị Giang, Phạm Khánh Linh, &amp; Vũ Thị Châu. (2024). Thực trạng sức khỏe tâm thần và một số yếu tố liên quan của học sinh tại 2 trường trung học phổ thông huyện Vĩnh Bảo, Hải Phòng năm 2023. Tạp chí Y học dự phòng, 34(1), 115–123. https://doi.org/10.51403/0868-2836/2024/1571</w:t>
      </w:r>
    </w:p>
    <w:p>
      <w:pPr>
        <w:spacing w:line="312" w:lineRule="auto"/>
        <w:ind w:left="567" w:hanging="567"/>
        <w:jc w:val="both"/>
      </w:pPr>
      <w:r>
        <w:rPr>
          <w:rFonts w:ascii="Times New Roman" w:hAnsi="Times New Roman"/>
          <w:sz w:val="24"/>
        </w:rPr>
        <w:t>Phạm Thị Thu Hoa, Đỗ Thị Trang, Nguyễn Thị Liên, &amp; Ngô Anh Vinh. (2024). Anxiety symptoms and coping strategies among high school students in Vietnam after COVID-19 pandemic: A mixed-method evaluation. Frontiers in Public Health, 12, Article 1232856. https://doi.org/10.3389/fpubh.2024.1232856</w:t>
      </w:r>
    </w:p>
    <w:p>
      <w:pPr>
        <w:spacing w:line="312" w:lineRule="auto"/>
        <w:ind w:left="567" w:hanging="567"/>
        <w:jc w:val="both"/>
      </w:pPr>
      <w:r>
        <w:rPr>
          <w:rFonts w:ascii="Times New Roman" w:hAnsi="Times New Roman"/>
          <w:sz w:val="24"/>
        </w:rPr>
        <w:t>Sowislo, J. F., &amp; Orth, U. (2013). Does low self-esteem predict depression and anxiety? A meta-analysis of longitudinal studies. Psychological Bulletin, 139(1), 213–240. https://doi.org/10.1037/a0028931</w:t>
      </w:r>
    </w:p>
    <w:p>
      <w:pPr>
        <w:spacing w:line="312" w:lineRule="auto"/>
        <w:ind w:left="567" w:hanging="567"/>
        <w:jc w:val="both"/>
      </w:pPr>
      <w:r>
        <w:rPr>
          <w:rFonts w:ascii="Times New Roman" w:hAnsi="Times New Roman"/>
          <w:sz w:val="24"/>
        </w:rPr>
        <w:t>Trần Hồ Vĩnh Lộc, Huỳnh Ngọc Vân Anh, &amp; Tô Gia Kiên. (2024). Trầm cảm, lo âu, căng thẳng và các yếu tố liên quan ở học sinh trung học phổ thông tại Thành phố Hồ Chí Minh. Tạp chí Y học Thành phố Hồ Chí Minh, 27(5), 100–110. https://doi.org/10.32895/hcjm.m.2024.05.12</w:t>
      </w:r>
    </w:p>
    <w:p>
      <w:pPr>
        <w:spacing w:line="312" w:lineRule="auto"/>
        <w:ind w:left="567" w:hanging="567"/>
        <w:jc w:val="both"/>
      </w:pPr>
      <w:r>
        <w:rPr>
          <w:rFonts w:ascii="Times New Roman" w:hAnsi="Times New Roman"/>
          <w:sz w:val="24"/>
        </w:rPr>
        <w:t>Trần Thảo Vi, Nguyễn Hoàng Thùy Linh, Trần Xuân Minh Trí, Tashiro, Y., Seino, K., Võ Văn Thắng, &amp; Nakamura, K. (2024). Academic stress among students in Vietnam: A three-year longitudinal study on the impact of family, lifestyle, and academic factors. Journal of Rural Medicine, 19(4), 279–290. https://doi.org/10.2185/jrm.2024-012</w:t>
      </w:r>
    </w:p>
    <w:p>
      <w:pPr>
        <w:spacing w:line="312" w:lineRule="auto"/>
        <w:ind w:left="567" w:hanging="567"/>
        <w:jc w:val="both"/>
      </w:pPr>
      <w:r>
        <w:rPr>
          <w:rFonts w:ascii="Times New Roman" w:hAnsi="Times New Roman"/>
          <w:sz w:val="24"/>
        </w:rPr>
        <w:t>Trần Thị Mỵ Lương. (2020). Rối loạn lo âu ở học sinh trung học phổ thông. Tạp chí Khoa học, Trường Đại học Thủ đô Hà Nội, 40, 122–131.</w:t>
      </w:r>
    </w:p>
    <w:p>
      <w:pPr>
        <w:spacing w:line="312" w:lineRule="auto"/>
        <w:ind w:left="567" w:hanging="567"/>
        <w:jc w:val="both"/>
      </w:pPr>
      <w:r>
        <w:rPr>
          <w:rFonts w:ascii="Times New Roman" w:hAnsi="Times New Roman"/>
          <w:sz w:val="24"/>
        </w:rPr>
        <w:t>Trúc Thanh Thái, Võ Lê Hồng Tuyết, Nguyễn Thị Trang, Đinh Văn Ngôn, Mai Lê Xuân, Trần Thị Hoài Thương, Nguyễn Thị Ngọc Bích, Huỳnh Mai Khánh Hà, Nguyễn Thị Thu An, Bùi Thị Hy Hân, &amp; Dương Minh Cường. (2026). Unmasking the burden of mental health symptoms and risk behaviors in Vietnamese adolescents: Evidence from a multicenter cross-sectional study involving 2,631 high school students. Social Psychiatry and Psychiatric Epidemiology. Xuất bản trực tuyến trước. https://doi.org/10.1007/s00127-025-03043-7</w:t>
      </w:r>
    </w:p>
    <w:p>
      <w:pPr>
        <w:spacing w:line="312" w:lineRule="auto"/>
        <w:ind w:left="567" w:hanging="567"/>
        <w:jc w:val="both"/>
      </w:pPr>
      <w:r>
        <w:rPr>
          <w:rFonts w:ascii="Times New Roman" w:hAnsi="Times New Roman"/>
          <w:sz w:val="24"/>
        </w:rPr>
        <w:t>Viện Xã hội học, Đại học Queensland, &amp; Đại học Johns Hopkins. (2022). Viet Nam adolescent mental health survey (V-NAMHS): Report on main findings. Viện Xã hội học.</w:t>
      </w:r>
    </w:p>
    <w:p>
      <w:pPr>
        <w:spacing w:line="312" w:lineRule="auto"/>
        <w:ind w:left="567" w:hanging="567"/>
        <w:jc w:val="both"/>
      </w:pPr>
      <w:r>
        <w:rPr>
          <w:rFonts w:ascii="Times New Roman" w:hAnsi="Times New Roman"/>
          <w:sz w:val="24"/>
        </w:rPr>
        <w:t>Xu, Q., Mao, Z., Wei, D., Liu, P., Fan, K., Wang, J., Wang, X., Lou, X., Lin, H., Wang, C., &amp; Wu, C. (2021). Prevalence and risk factors for anxiety symptoms during the outbreak of COVID-19: A large survey among 373216 junior and senior high school students in China. Journal of Affective Disorders, 288, 17–22. https://doi.org/10.1016/j.jad.2021.03.080</w:t>
      </w:r>
    </w:p>
    <w:sectPr w:rsidR="00FC693F" w:rsidRPr="0006063C" w:rsidSect="00034616">
      <w:pgSz w:w="12240" w:h="15840"/>
      <w:pgMar w:top="1701"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