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Khoảng trống can thiệp rối loạn lo âu ở học sinh trung học cơ sở</w:t>
      </w:r>
    </w:p>
    <w:p>
      <w:r>
        <w:rPr>
          <w:rFonts w:ascii="Times New Roman" w:hAnsi="Times New Roman"/>
          <w:b/>
          <w:sz w:val="22"/>
        </w:rPr>
        <w:t xml:space="preserve">Tóm tắt: </w:t>
      </w:r>
      <w:r>
        <w:rPr>
          <w:rFonts w:ascii="Times New Roman" w:hAnsi="Times New Roman"/>
          <w:sz w:val="22"/>
        </w:rPr>
      </w:r>
      <w:r>
        <w:rPr>
          <w:rFonts w:ascii="Times New Roman" w:hAnsi="Times New Roman" w:eastAsia="Times New Roman"/>
          <w:sz w:val="22"/>
        </w:rPr>
        <w:t>Liệu pháp nhận thức – hành vi (Cognitive Behavioral Therapy – CBT) đã được xác lập là tiếp cận chuẩn vàng trong can thiệp rối loạn lo âu ở trẻ em – vị thành niên, với nhiều phân tích tổng hợp ghi nhận kích thước hiệu ứng từ trung bình tới lớn. Tuy nhiên, các nghiên cứu can thiệp CBT trên học sinh trung học cơ sở (HSTHCS) tại Việt Nam còn rất hạn chế, đặc biệt thiếu các thử nghiệm lâm sàng ngẫu nhiên đa trung tâm. Bài viết hệ thống hóa các nghiên cứu can thiệp công bố giai đoạn 2015–2026 theo ba trục: CBT đã được kiểm định lâm sàng, CBT triển khai trong trường học, và CBT qua nền tảng số. Phân tích cho thấy ba khoảng trống chính trong bối cảnh Việt Nam: vắng các thử nghiệm lâm sàng ngẫu nhiên đa trung tâm trên mẫu HSTHCS, chưa có chương trình CBT trường học phù hợp Chương trình giáo dục phổ thông 2018, và chưa có nền tảng CBT số tiếng Việt được kiểm định. Năm khuyến nghị triển khai được đề xuất nhằm thu hẹp các khoảng trống đó.</w:t>
      </w:r>
    </w:p>
    <w:p>
      <w:r>
        <w:rPr>
          <w:rFonts w:ascii="Times New Roman" w:hAnsi="Times New Roman"/>
          <w:b/>
          <w:sz w:val="22"/>
        </w:rPr>
        <w:t xml:space="preserve">Từ khóa: </w:t>
      </w:r>
      <w:r>
        <w:rPr>
          <w:rFonts w:ascii="Times New Roman" w:hAnsi="Times New Roman"/>
          <w:sz w:val="22"/>
        </w:rPr>
        <w:t>rối loạn lo âu, học sinh trung học cơ sở, liệu pháp nhận thức – hành vi, can thiệp tại trường, can thiệp số</w:t>
      </w:r>
    </w:p>
    <w:p>
      <w:pPr>
        <w:jc w:val="center"/>
      </w:pPr>
      <w:r>
        <w:rPr>
          <w:rFonts w:ascii="Times New Roman" w:hAnsi="Times New Roman"/>
          <w:b/>
          <w:i w:val="0"/>
          <w:sz w:val="24"/>
        </w:rPr>
        <w:t>Research gaps in anxiety disorder interventions for junior secondary school students</w:t>
      </w:r>
    </w:p>
    <w:p>
      <w:r>
        <w:rPr>
          <w:rFonts w:ascii="Times New Roman" w:hAnsi="Times New Roman"/>
          <w:b/>
          <w:sz w:val="22"/>
        </w:rPr>
        <w:t xml:space="preserve">Abstract: </w:t>
      </w:r>
      <w:r>
        <w:rPr>
          <w:rFonts w:ascii="Times New Roman" w:hAnsi="Times New Roman"/>
          <w:sz w:val="22"/>
        </w:rPr>
      </w:r>
      <w:r>
        <w:rPr>
          <w:rFonts w:ascii="Times New Roman" w:hAnsi="Times New Roman" w:eastAsia="Times New Roman"/>
          <w:sz w:val="22"/>
        </w:rPr>
        <w:t>Cognitive Behavioral Therapy (CBT) has been established as the gold-standard intervention for anxiety disorders in children and adolescents, with multiple meta-analyses confirming moderate to large effect sizes. In Vietnam, research on CBT-based interventions for junior secondary school students (eleven to fifteen years of age) remains scarce, particularly in the form of multisite randomized controlled trials. This narrative review synthesises peer-reviewed intervention studies published between 2015 and 2026 and organises them into three categories: CBT validated in clinical trials, school-based CBT programmes, and CBT delivered through digital platforms such as smartphone applications and internet-based programmes. The analysis highlights three salient gaps in the Vietnamese context: the absence of multisite randomized controlled trials on junior secondary student samples, the lack of school-based CBT programmes tailored to the Vietnamese General Education Programme 2018 framework, and the lack of validated Vietnamese-language digital CBT platforms for this age group. Five implementation recommendations are proposed to address these gaps and to lay the groundwork for priority intervention research in the coming years.</w:t>
      </w:r>
    </w:p>
    <w:p>
      <w:r>
        <w:rPr>
          <w:rFonts w:ascii="Times New Roman" w:hAnsi="Times New Roman"/>
          <w:b/>
          <w:sz w:val="22"/>
        </w:rPr>
        <w:t xml:space="preserve">Keywords: </w:t>
      </w:r>
      <w:r>
        <w:rPr>
          <w:rFonts w:ascii="Times New Roman" w:hAnsi="Times New Roman"/>
          <w:sz w:val="22"/>
        </w:rPr>
        <w:t>anxiety disorders, junior secondary school students, cognitive behavioral therapy, school-based intervention, digital intervention</w:t>
      </w:r>
    </w:p>
    <w:p>
      <w:r>
        <w:rPr>
          <w:rFonts w:ascii="Times New Roman" w:hAnsi="Times New Roman"/>
          <w:b/>
          <w:i w:val="0"/>
          <w:sz w:val="24"/>
        </w:rPr>
        <w:t>1. Đặt vấn đề</w:t>
      </w:r>
    </w:p>
    <w:p>
      <w:r>
        <w:rPr>
          <w:rFonts w:ascii="Times New Roman" w:hAnsi="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hệ thống hóa các yếu tố nguy cơ rối loạn lo âu ở HSTHCS — bao gồm các yếu tố môi trường học đường, yếu tố tâm lý nội tại và các yếu tố mới phát sinh từ chuyển đổi số. Trên nền tảng nguy cơ đa chiều đó, câu hỏi mà các nhà nghiên cứu và nhà thực hành cùng quan tâm là: những can thiệp nào có bằng chứng để giảm gánh nặng lo âu ở HSTHCS, và những hình thức nào khả thi trong bối cảnh giáo dục Việt Nam?</w:t>
      </w:r>
    </w:p>
    <w:p>
      <w:r>
        <w:rPr>
          <w:rFonts w:ascii="Times New Roman" w:hAnsi="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CBT đã trải qua hơn bốn thập kỷ kiểm nghiệm thực nghiệm và hiện được phân nhánh thành nhiều phiên bản giao thức khác nhau, từ Coping Cat và Cool Kids ở phương Tây tới các bản địa hóa cho khu vực châu Á như Journey of the Brave tại Nhật Bản (Urao và cộng sự, 2018; Urao và cộng sự, 2022).</w:t>
      </w:r>
    </w:p>
    <w:p>
      <w:r>
        <w:rPr>
          <w:rFonts w:ascii="Times New Roman" w:hAnsi="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Tổng quan hệ thống và phân tích mạng lưới của Liu và cộng sự (2025) trên 52 thử nghiệm lâm sàng ngẫu nhiên ở bệnh nhân rối loạn lo âu tổng quát — chủ yếu là người trưởng thành — cho thấy CBT cá nhân được xếp hạng hiệu quả cao nhất trong số các hình thức cung cấp; thứ bậc chi tiết giữa các hình thức được trình bày ở mục 3.1. Phân tích mạng lưới riêng cho rối loạn lo âu xã hội ở trẻ em – vị thành niên của Xian và cộng sự (2024) báo cáo kết quả cùng hướng, trong đó các hình thức CBT — đặc biệt là CBT qua internet — được xếp hạng hiệu quả cao nhất. Trên phương diện học đường, phân tích tổng hợp của Cai và cộng sự (2025) ghi nhận các chương trình tại trường có hiệu ứng tổng hợp nhỏ trên năng lực phục hồi tâm lý của học sinh — một cấu trúc bảo vệ có liên quan đến việc giảm nguy cơ lo âu.</w:t>
      </w:r>
    </w:p>
    <w:p>
      <w:r>
        <w:rPr>
          <w:rFonts w:ascii="Times New Roman" w:hAnsi="Times New Roman"/>
          <w:b w:val="0"/>
          <w:i w:val="0"/>
          <w:sz w:val="24"/>
        </w:rPr>
        <w:t>Trong bối cảnh chuyển đổi số mạnh mẽ, can thiệp CBT qua nền tảng số (Digital Mental Health Intervention – DMHI) ngày càng được chú ý. Phân tích tổng hợp của Walder và cộng sự (2025) trên 21 thử nghiệm lâm sàng ngẫu nhiên về can thiệp số cho rối loạn lo âu xã hội ở trẻ em, vị thành niên và thanh niên trẻ báo cáo hiệu ứng tổng hợp g = 0,508, trong đó nhóm can thiệp số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r>
        <w:rPr>
          <w:rFonts w:ascii="Times New Roman" w:hAnsi="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Bài viết hệ thống hóa các nghiên cứu công bố 2015–2026 theo ba nhóm: (i) CBT đã xác nhận hiệu quả qua thử nghiệm lâm sàng, (ii) CBT triển khai tại trường, và (iii) CBT qua nền tảng số, làm cơ sở cho các thiết kế nghiên cứu can thiệp ưu tiên tại Việt Nam 2026–2030.</w:t>
      </w:r>
    </w:p>
    <w:p>
      <w:r>
        <w:rPr>
          <w:rFonts w:ascii="Times New Roman" w:hAnsi="Times New Roman"/>
          <w:b/>
          <w:i w:val="0"/>
          <w:sz w:val="24"/>
        </w:rPr>
        <w:t>2. Phương pháp nghiên cứu</w:t>
      </w:r>
    </w:p>
    <w:p>
      <w:r>
        <w:rPr>
          <w:rFonts w:ascii="Times New Roman" w:hAnsi="Times New Roman"/>
          <w:b w:val="0"/>
          <w:i w:val="0"/>
          <w:sz w:val="24"/>
        </w:rPr>
        <w:t>Bài viết áp dụng thiết kế tổng quan tự sự (narrative review) vì cho phép gộp hợp các dạng bằng chứng khác nhau — RCT, nghiên cứu pilot có nhóm chứng, phân tích định tính — trong khi vẫn duy trì sự nghiêm túc ở khâu chọn lọc và đánh giá.</w:t>
      </w:r>
    </w:p>
    <w:p>
      <w:r>
        <w:rPr>
          <w:rFonts w:ascii="Times New Roman" w:hAnsi="Times New Roman"/>
          <w:b w:val="0"/>
          <w:i w:val="0"/>
          <w:sz w:val="24"/>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hay các giao thức Coping Cat phát triển từ thập niên 1990.</w:t>
      </w:r>
    </w:p>
    <w:p>
      <w:r>
        <w:rPr>
          <w:rFonts w:ascii="Times New Roman" w:hAnsi="Times New Roman"/>
          <w:b w:val="0"/>
          <w:i w:val="0"/>
          <w:sz w:val="24"/>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w:t>
      </w:r>
    </w:p>
    <w:p>
      <w:r>
        <w:rPr>
          <w:rFonts w:ascii="Times New Roman" w:hAnsi="Times New Roman"/>
          <w:b w:val="0"/>
          <w:i w:val="0"/>
          <w:sz w:val="24"/>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(RCADS, SCAS, MASC, SCARED) hoặc các thước đo tổng (DASS-21, STAI). Các bài bình luận, ý kiến chuyên gia chưa qua bình duyệt cùng luận án tiến sĩ chưa bảo vệ không nằm trong danh sách trích dẫn của bài viết.</w:t>
      </w:r>
    </w:p>
    <w:p>
      <w:r>
        <w:rPr>
          <w:rFonts w:ascii="Times New Roman" w:hAnsi="Times New Roman"/>
          <w:b w:val="0"/>
          <w:i w:val="0"/>
          <w:sz w:val="24"/>
        </w:rPr>
        <w:t>Nguồn tài liệu phân tích trong bài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các nền tảng cơ sở dữ liệu điện tử cùng các bản truy cập mở của Lancet, BMC, Springer, Frontiers, JMIR, Wiley; các công trình tiếng Việt được tra cứu trong Tạp chí Y học Việt Nam, Tạp chí Tâm lý học, Tạp chí Khoa học Giáo dục Việt Nam cùng các kỷ yếu hội thảo quốc gia.</w:t>
      </w:r>
    </w:p>
    <w:p>
      <w:r>
        <w:rPr>
          <w:rFonts w:ascii="Times New Roman" w:hAnsi="Times New Roman"/>
          <w:b w:val="0"/>
          <w:i w:val="0"/>
          <w:sz w:val="24"/>
        </w:rPr>
        <w:t>Trong khâu thực hiện bài viết, nhóm tác giả có dùng một mô hình ngôn ngữ lớn ở vai trò hỗ trợ kỹ thuật — tìm kiếm sơ bộ, kiểm tra chuẩn trích dẫn và rà soát hành văn. Toàn bộ phần đánh giá bằng chứng giữa các giao thức can thiệp, diễn giải kết quả và đề xuất hướng triển khai thuộc về trách nhiệm chuyên môn của nhóm. Mỗi thông số định lượng nêu trong bản thảo đều được đối chiếu lại với báo cáo gốc — quy trình tuân theo chính sách liêm chính nghiên cứu khi ứng dụng AI mà VJES đã công bố, đồng thời tham chiếu các nguyên tắc của Đạo luật AI châu Âu.</w:t>
      </w:r>
    </w:p>
    <w:p>
      <w:r>
        <w:rPr>
          <w:rFonts w:ascii="Times New Roman" w:hAnsi="Times New Roman"/>
          <w:b/>
          <w:i w:val="0"/>
          <w:sz w:val="24"/>
        </w:rPr>
        <w:t>3. Kết quả nghiên cứu</w:t>
      </w:r>
    </w:p>
    <w:p>
      <w:r>
        <w:rPr>
          <w:rFonts w:ascii="Times New Roman" w:hAnsi="Times New Roman"/>
          <w:b/>
          <w:i/>
          <w:sz w:val="24"/>
        </w:rPr>
        <w:t>3.1. Liệu pháp nhận thức – hành vi đã được xác nhận hiệu quả</w:t>
      </w:r>
    </w:p>
    <w:p>
      <w:r>
        <w:rPr>
          <w:rFonts w:ascii="Times New Roman" w:hAnsi="Times New Roman"/>
          <w:b w:val="0"/>
          <w:i w:val="0"/>
          <w:sz w:val="24"/>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w:t>
      </w:r>
    </w:p>
    <w:p>
      <w:r>
        <w:rPr>
          <w:rFonts w:ascii="Times New Roman" w:hAnsi="Times New Roman"/>
          <w:b w:val="0"/>
          <w:i w:val="0"/>
          <w:sz w:val="24"/>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r>
        <w:rPr>
          <w:rFonts w:ascii="Times New Roman" w:hAnsi="Times New Roman"/>
          <w:b w:val="0"/>
          <w:i w:val="0"/>
          <w:sz w:val="24"/>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r>
        <w:rPr>
          <w:rFonts w:ascii="Times New Roman" w:hAnsi="Times New Roman"/>
          <w:b w:val="0"/>
          <w:i w:val="0"/>
          <w:sz w:val="24"/>
        </w:rPr>
        <w:t>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một thành phần hành vi của CBT —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r>
        <w:rPr>
          <w:rFonts w:ascii="Times New Roman" w:hAnsi="Times New Roman"/>
          <w:b w:val="0"/>
          <w:i w:val="0"/>
          <w:sz w:val="24"/>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w:t>
      </w:r>
    </w:p>
    <w:p>
      <w:r>
        <w:rPr>
          <w:rFonts w:ascii="Times New Roman" w:hAnsi="Times New Roman"/>
          <w:b w:val="0"/>
          <w:i w:val="0"/>
          <w:sz w:val="24"/>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r>
        <w:rPr>
          <w:rFonts w:ascii="Times New Roman" w:hAnsi="Times New Roman"/>
          <w:b/>
          <w:i/>
          <w:sz w:val="24"/>
        </w:rPr>
        <w:t>3.2. Liệu pháp nhận thức – hành vi triển khai tại trường học</w:t>
      </w:r>
    </w:p>
    <w:p>
      <w:r>
        <w:rPr>
          <w:rFonts w:ascii="Times New Roman" w:hAnsi="Times New Roman"/>
          <w:b w:val="0"/>
          <w:i w:val="0"/>
          <w:sz w:val="24"/>
        </w:rPr>
        <w:t>Triển khai CBT tại trường mang lại nhiều ưu thế: tiếp cận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r>
        <w:rPr>
          <w:rFonts w:ascii="Times New Roman" w:hAnsi="Times New Roman"/>
          <w:b w:val="0"/>
          <w:i w:val="0"/>
          <w:sz w:val="24"/>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r>
        <w:rPr>
          <w:rFonts w:ascii="Times New Roman" w:hAnsi="Times New Roman"/>
          <w:b w:val="0"/>
          <w:i w:val="0"/>
          <w:sz w:val="24"/>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r>
        <w:rPr>
          <w:rFonts w:ascii="Times New Roman" w:hAnsi="Times New Roman"/>
          <w:b w:val="0"/>
          <w:i w:val="0"/>
          <w:sz w:val="24"/>
        </w:rPr>
        <w:t>Tại Nhật Bản, Urao và cộng sự (2018, 2022) phát triển chương trình Journey of the Brave dựa trên CBT — phiên bản gốc 10 buổi (Urao và cộng sự, 2018) sau đó được mở rộng thành 14 buổi hoạt động ngắn trong lớp học (Urao và cộng sự, 2022) — thiết kế cho học sinh cuối tiểu học và được kiểm định qua các nghiên cứu tựa thực nghiệm có nhóm chứng, ghi nhận hiệu ứng giảm triệu chứng lo âu. 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w:t>
      </w:r>
    </w:p>
    <w:p>
      <w:r>
        <w:rPr>
          <w:rFonts w:ascii="Times New Roman" w:hAnsi="Times New Roman"/>
          <w:b w:val="0"/>
          <w:i w:val="0"/>
          <w:sz w:val="24"/>
        </w:rPr>
        <w:t>Tại Việt Nam, các chương trình CBT tại trường còn ở giai đoạn rất sớm. Báo cáo của Viện Xã hội học và cộng sự (2022) ghi nhận phần lớn trường được khảo sát có ít nhất một hoạt động hỗ trợ tâm lý học đường, nhưng đa số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r>
        <w:rPr>
          <w:rFonts w:ascii="Times New Roman" w:hAnsi="Times New Roman"/>
          <w:b w:val="0"/>
          <w:i w:val="0"/>
          <w:sz w:val="24"/>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
        <w:rPr>
          <w:rFonts w:ascii="Times New Roman" w:hAnsi="Times New Roman"/>
          <w:b/>
          <w:i/>
          <w:sz w:val="24"/>
        </w:rPr>
        <w:t>3.3. Liệu pháp nhận thức – hành vi qua nền tảng số</w:t>
      </w:r>
    </w:p>
    <w:p>
      <w:r>
        <w:rPr>
          <w:rFonts w:ascii="Times New Roman" w:hAnsi="Times New Roman"/>
          <w:b w:val="0"/>
          <w:i w:val="0"/>
          <w:sz w:val="24"/>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w:t>
      </w:r>
    </w:p>
    <w:p>
      <w:r>
        <w:rPr>
          <w:rFonts w:ascii="Times New Roman" w:hAnsi="Times New Roman"/>
          <w:b w:val="0"/>
          <w:i w:val="0"/>
          <w:sz w:val="24"/>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w:t>
      </w:r>
    </w:p>
    <w:p>
      <w:r>
        <w:rPr>
          <w:rFonts w:ascii="Times New Roman" w:hAnsi="Times New Roman"/>
          <w:b w:val="0"/>
          <w:i w:val="0"/>
          <w:sz w:val="24"/>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báo cáo hiệu ứng g = 0,66 đối với điểm lo âu xã hội sau 10 tuần can thiệp – con số đáng chú ý vì can thiệp gần như không có sự tham gia trực tiếp của chuyên gia. Yếu tố thiết kế tương tác được xác định là chìa khóa duy trì sự tham gia của người dùng.</w:t>
      </w:r>
    </w:p>
    <w:p>
      <w:r>
        <w:rPr>
          <w:rFonts w:ascii="Times New Roman" w:hAnsi="Times New Roman"/>
          <w:b w:val="0"/>
          <w:i w:val="0"/>
          <w:sz w:val="24"/>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w:t>
      </w:r>
    </w:p>
    <w:p>
      <w:r>
        <w:rPr>
          <w:rFonts w:ascii="Times New Roman" w:hAnsi="Times New Roman"/>
          <w:b w:val="0"/>
          <w:i w:val="0"/>
          <w:sz w:val="24"/>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
        <w:rPr>
          <w:rFonts w:ascii="Times New Roman" w:hAnsi="Times New Roman"/>
          <w:b w:val="0"/>
          <w:i w:val="0"/>
          <w:sz w:val="24"/>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r>
        <w:rPr>
          <w:rFonts w:ascii="Times New Roman" w:hAnsi="Times New Roman"/>
          <w:b w:val="0"/>
          <w:i w:val="0"/>
          <w:sz w:val="24"/>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r>
        <w:rPr>
          <w:rFonts w:ascii="Times New Roman" w:hAnsi="Times New Roman"/>
          <w:b w:val="0"/>
          <w:i w:val="0"/>
          <w:sz w:val="24"/>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
        <w:rPr>
          <w:rFonts w:ascii="Times New Roman" w:hAnsi="Times New Roman"/>
          <w:b/>
          <w:i w:val="0"/>
          <w:sz w:val="24"/>
        </w:rPr>
        <w:t>4. Kết luận</w:t>
      </w:r>
    </w:p>
    <w:p>
      <w:r>
        <w:rPr>
          <w:rFonts w:ascii="Times New Roman" w:hAnsi="Times New Roman"/>
          <w:b w:val="0"/>
          <w:i w:val="0"/>
          <w:sz w:val="24"/>
        </w:rPr>
        <w:t>Bài viết đã hệ thống hóa ba nhóm chính của can thiệp CBT cho rối loạn lo âu ở HSTHCS: CBT đã xác nhận hiệu quả qua thử nghiệm lâm sàng, CBT triển khai tại trường, và CBT qua nền tảng số.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r>
        <w:rPr>
          <w:rFonts w:ascii="Times New Roman" w:hAnsi="Times New Roman"/>
          <w:b w:val="0"/>
          <w:i w:val="0"/>
          <w:sz w:val="24"/>
        </w:rPr>
        <w:t>Nhóm tác giả nhận diện ba khoảng trống nổi bật trong nghiên cứu can thiệp tại Việt Nam. Thứ nhất, thiếu thử nghiệm lâm sàng ngẫu nhiên đa trung tâm trên mẫu HSTHCS — phần lớn các nghiên cứu hiện có đều dùng thiết kế trước-sau hoặc tựa thực nghiệm với nhóm chứng không phân ngẫu nhiên. Thứ hai, thiếu chương trình CBT dựa vào trường được thiết kế phù hợp với chương trình giáo dục phổ thông Việt Nam — mặc dù chương trình 2018 đã đưa môn Hoạt động trải nghiệm – Hướng nghiệp vào chương trình chính thức, các giáo viên hiện chưa được đào tạo có hệ thống về sàng lọc và can thiệp sơ cấp ở mức cận lâm sàng. Thứ ba, thiếu nền tảng CBT số tiếng Việt được kiểm định — các nền tảng tiếng Anh hiện có không thể triển khai trực tiếp do rào cản ngôn ngữ và văn hóa.</w:t>
      </w:r>
    </w:p>
    <w:p>
      <w:r>
        <w:rPr>
          <w:rFonts w:ascii="Times New Roman" w:hAnsi="Times New Roman"/>
          <w:b w:val="0"/>
          <w:i w:val="0"/>
          <w:sz w:val="24"/>
        </w:rPr>
        <w:t>Trên cơ sở các khoảng trống trên, nhóm tác giả đề xuất năm khuyến nghị triển khai cho giai đoạn 2026–2030. Thứ nhất, ưu tiên thiết kế và thực hiện một thử nghiệm lâm sàng ngẫu nhiên đa trung tâm trên mẫu HSTHCS Việt Nam với giao thức CBT đã được bản địa hóa. Thứ hai, phát triển một chương trình CBT trường học 8–12 buổi tích hợp vào môn Hoạt động trải nghiệm – Hướng nghiệp, với tài liệu hướng dẫn dành cho giáo viên chủ nhiệm và giáo viên tâm lý học đường. Thứ ba, xây dựng một nền tảng CBT số tiếng Việt theo mô hình của các ứng dụng đã được phát triển trên thế giới như Maya (Bress và cộng sự, 2024) hoặc ClearlyMe (Li và cộng sự, 2022),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w:t>
      </w:r>
    </w:p>
    <w:p>
      <w:r>
        <w:rPr>
          <w:rFonts w:ascii="Times New Roman" w:hAnsi="Times New Roman"/>
          <w:b w:val="0"/>
          <w:i w:val="0"/>
          <w:sz w:val="24"/>
        </w:rPr>
        <w:t>Để các khuyến nghị này khả thi, cần xác lập rõ vai trò của các bên liên quan.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Các trường đại học sư phạm và trường đại học có ngành tâm lý học chịu trách nhiệm đào tạo nhân lực chuyên môn và phối hợp chuyển giao công nghệ. Khu vực tư nhân và các tổ chức phi chính phủ có vai trò bổ sung trong phát triển nền tảng số và cung cấp dịch vụ chăm sóc khi hệ thống công lập quá tải. Sự phối hợp đa bên này cần được điều phối qua một hội đồng liên ngành cấp quốc gia với cơ chế họp định kỳ và báo cáo kết quả minh bạch.</w:t>
      </w:r>
    </w:p>
    <w:p>
      <w:r>
        <w:rPr>
          <w:rFonts w:ascii="Times New Roman" w:hAnsi="Times New Roman"/>
          <w:b w:val="0"/>
          <w:i w:val="0"/>
          <w:sz w:val="24"/>
        </w:rPr>
        <w:t>Một thách thức quan trọng cần lường trước là sự khác biệt vùng miền trong điều kiện thực hiện. Trong khi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r>
        <w:rPr>
          <w:rFonts w:ascii="Times New Roman" w:hAnsi="Times New Roman"/>
          <w:b w:val="0"/>
          <w:i w:val="0"/>
          <w:sz w:val="24"/>
        </w:rPr>
        <w:t>Tổng quan này, kết hợp với bài viết về yếu tố nguy cơ trong cùng chuỗi, cung cấp một bức tranh toàn diện đặt nền móng cho các nghiên cứu can thiệp ưu tiên trong giai đoạn 2026–2030. Sự kết hợp hai bài viết — một bài về yếu tố nguy cơ, một bài về khoảng trống can thiệp — phản ánh logic của một chương trình nghiên cứu dài hạn: nhận diện yếu tố nguy cơ trước, sau đó thiết kế can thiệp phù hợp với các yếu tố đó. Hi vọng các đề xuất trong cả hai bài sẽ là nguồn tham khảo hữu ích cho các nhà nghiên cứu, nhà thực hành tâm lý học đường và nhà hoạch định chính sách trong thời gian tới.</w:t>
      </w:r>
    </w:p>
    <w:p>
      <w:r>
        <w:rPr>
          <w:rFonts w:ascii="Times New Roman" w:hAnsi="Times New Roman"/>
          <w:b/>
          <w:i w:val="0"/>
          <w:sz w:val="24"/>
        </w:rPr>
        <w:t>Tài liệu tham khảo</w:t>
      </w:r>
    </w:p>
    <w:p>
      <w:r>
        <w:rPr>
          <w:rFonts w:ascii="Times New Roman" w:hAnsi="Times New Roman"/>
          <w:b w:val="0"/>
          <w:i w:val="0"/>
          <w:sz w:val="22"/>
        </w:rPr>
        <w:t>Beck, A. T. (1976). Cognitive therapy and the emotional disorders. International Universities Press.</w:t>
      </w:r>
    </w:p>
    <w:p>
      <w:r>
        <w:rPr>
          <w:rFonts w:ascii="Times New Roman" w:hAnsi="Times New Roman"/>
          <w:b w:val="0"/>
          <w:i w:val="0"/>
          <w:sz w:val="22"/>
        </w:rPr>
        <w:t>Bradshaw, C. P., McDaniel, H. L., Pas, E. T., Debnam, K. J., Bottiani, J. H., Powell, N., Ialongo, N. S., Morgan-Lopez, A. A., &amp; Lochman, J. E. (2025). Randomized controlled trial of the early adolescent coping power program: Effects on emotional and behavioral problems in middle schoolers. Journal of School Psychology, 110, Article 101437. https://doi.org/10.1016/j.jsp.2025.101437</w:t>
      </w:r>
    </w:p>
    <w:p>
      <w:r>
        <w:rPr>
          <w:rFonts w:ascii="Times New Roman" w:hAnsi="Times New Roman"/>
          <w:b w:val="0"/>
          <w:i w:val="0"/>
          <w:sz w:val="22"/>
        </w:rPr>
        <w:t>Bress, J. N., Falk, A., Schier, M. M., Jaywant, A., Moroney, E., Dargis, M., Bennett, S. M., Scult, M. A., Volpp, K. G., Asch, D. A., Balachandran, M., Perlis, R. H., Lee, F. S., &amp; Gunning, F. M. (2024). Efficacy of a mobile app-based intervention for young adults with anxiety disorders: A randomized clinical trial. JAMA Network Open, 7(8), Article e2428372. https://doi.org/10.1001/jamanetworkopen.2024.28372</w:t>
      </w:r>
    </w:p>
    <w:p>
      <w:r>
        <w:rPr>
          <w:rFonts w:ascii="Times New Roman" w:hAnsi="Times New Roman"/>
          <w:b w:val="0"/>
          <w:i w:val="0"/>
          <w:sz w:val="22"/>
        </w:rPr>
        <w:t>Cai, C., Mei, Z., Wang, Z., &amp; Luo, S. (2025). School-based interventions for resilience in children and adolescents: A systematic review and meta-analysis of randomized controlled trials. Frontiers in Psychiatry, 16, Article 1594658. https://doi.org/10.3389/fpsyt.2025.1594658</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He, Q., Li, J., Wang, J., &amp; Qu, Z. (2026). Preventing depression in Chinese children and adolescents: A pilot study of a brief school-based cognitive behavioral group program. Journal of Affective Disorders, 394, Article 120559. https://doi.org/10.1016/j.jad.2025.120559</w:t>
      </w:r>
    </w:p>
    <w:p>
      <w:r>
        <w:rPr>
          <w:rFonts w:ascii="Times New Roman" w:hAnsi="Times New Roman"/>
          <w:b w:val="0"/>
          <w:i w:val="0"/>
          <w:sz w:val="22"/>
        </w:rPr>
        <w:t>Li, S. H., Achilles, M. R., Spanos, S., Habak, S., Werner-Seidler, A., &amp; O'Dea, B. (2022). A cognitive behavioural therapy smartphone app for adolescent depression and anxiety: Co-design of ClearlyMe. The Cognitive Behaviour Therapist, 15, Article e13. https://doi.org/10.1017/S1754470X22000095</w:t>
      </w:r>
    </w:p>
    <w:p>
      <w:r>
        <w:rPr>
          <w:rFonts w:ascii="Times New Roman" w:hAnsi="Times New Roman"/>
          <w:b w:val="0"/>
          <w:i w:val="0"/>
          <w:sz w:val="22"/>
        </w:rPr>
        <w:t>Liu, S., Xiao, H., Duan, Y., Shi, L., Wang, P., Cao, L., Li, H., Huang, X., &amp; Qiu, C. (2025). CBT treatment delivery formats for generalized anxiety disorder: A systematic review and network meta-analysis of randomized controlled trials. Translational Psychiatry, 15, Article 197. https://doi.org/10.1038/s41398-025-03414-3</w:t>
      </w:r>
    </w:p>
    <w:p>
      <w:r>
        <w:rPr>
          <w:rFonts w:ascii="Times New Roman" w:hAnsi="Times New Roman"/>
          <w:b w:val="0"/>
          <w:i w:val="0"/>
          <w:sz w:val="22"/>
        </w:rPr>
        <w:t>Matsumoto, K., Hamatani, S., Shiga, K., Iiboshi, K., Kasai, M., Kimura, Y., Yokota, S., Watanabe, K., Kubo, Y., &amp; Nakamura, M. (2024). Effectiveness of unguided internet-based cognitive behavioral therapy for subthreshold social anxiety disorder in adolescents and young adults: Multicenter randomized controlled trial. JMIR Pediatrics and Parenting, 7, Article e55786. https://doi.org/10.2196/55786</w:t>
      </w:r>
    </w:p>
    <w:p>
      <w:r>
        <w:rPr>
          <w:rFonts w:ascii="Times New Roman" w:hAnsi="Times New Roman"/>
          <w:b w:val="0"/>
          <w:i w:val="0"/>
          <w:sz w:val="22"/>
        </w:rPr>
        <w:t>Praptomojati, A., Icanervilia, A. V., Nauta, M. H., &amp; Bouman, T. K. (2024). A systematic review of culturally adapted cognitive behavioral therapy (CA-CBT) for anxiety disorders in Southeast Asia. Asian Journal of Psychiatry, 92, Article 103896. https://doi.org/10.1016/j.ajp.2023.103896</w:t>
      </w:r>
    </w:p>
    <w:p>
      <w:r>
        <w:rPr>
          <w:rFonts w:ascii="Times New Roman" w:hAnsi="Times New Roman"/>
          <w:b w:val="0"/>
          <w:i w:val="0"/>
          <w:sz w:val="22"/>
        </w:rPr>
        <w:t>Urao, Y., Yoshida, M., Koshiba, T., Sato, Y., Ishikawa, S., &amp; Shimizu, E. (2018). Effectiveness of a cognitive behavioural therapy-based anxiety prevention programme at an elementary school in Japan: A quasi-experimental study. Child and Adolescent Psychiatry and Mental Health, 12, Article 33. https://doi.org/10.1186/s13034-018-0240-5</w:t>
      </w:r>
    </w:p>
    <w:p>
      <w:r>
        <w:rPr>
          <w:rFonts w:ascii="Times New Roman" w:hAnsi="Times New Roman"/>
          <w:b w:val="0"/>
          <w:i w:val="0"/>
          <w:sz w:val="22"/>
        </w:rPr>
        <w:t>Urao, Y., Yoshida, M., Sato, Y., &amp; Shimizu, E. (2022). School-based cognitive behavioural intervention programme for addressing anxiety in 10- to 11-year-olds using short classroom activities in Japan: A quasi-experimental study. BMC Psychiatry, 22, Article 658. https://doi.org/10.1186/s12888-022-04326-y</w:t>
      </w:r>
    </w:p>
    <w:p>
      <w:r>
        <w:rPr>
          <w:rFonts w:ascii="Times New Roman" w:hAnsi="Times New Roman"/>
          <w:b w:val="0"/>
          <w:i w:val="0"/>
          <w:sz w:val="22"/>
        </w:rPr>
        <w:t>Walder, N., Frey, A., Berger, T., &amp; Schmidt, S. J. (2025). Digital mental health interventions for the prevention and treatment of social anxiety disorder in children, adolescents, and young adults: A systematic review and meta-analysis of randomized controlled trials. Journal of Medical Internet Research, 27, Article e67067. https://doi.org/10.2196/67067</w:t>
      </w:r>
    </w:p>
    <w:p>
      <w:r>
        <w:rPr>
          <w:rFonts w:ascii="Times New Roman" w:hAnsi="Times New Roman"/>
          <w:b w:val="0"/>
          <w:i w:val="0"/>
          <w:sz w:val="22"/>
        </w:rPr>
        <w:t>Xian, J., Zhang, Y., &amp; Jiang, B. (2024). Psychological interventions for social anxiety disorder in children and adolescents: A systematic review and network meta-analysis. Journal of Affective Disorders, 365, 614–627. https://doi.org/10.1016/j.jad.2024.08.097</w:t>
      </w:r>
    </w:p>
    <w:p>
      <w:r>
        <w:rPr>
          <w:rFonts w:ascii="Times New Roman" w:hAnsi="Times New Roman"/>
          <w:b w:val="0"/>
          <w:i w:val="0"/>
          <w:sz w:val="22"/>
        </w:rPr>
        <w:t>Trần Nguyễn Ngọc. (2018). Đánh giá hiệu quả điều trị rối loạn lo âu lan tỏa bằng liệu pháp thư giãn luyện tập [Luận án tiến sĩ y học, Trường Đại học Y Hà Nội]. Trường Đại học Y Hà Nội.</w:t>
      </w:r>
    </w:p>
    <w:p>
      <w:r>
        <w:rPr>
          <w:rFonts w:ascii="Times New Roman" w:hAnsi="Times New Roman"/>
          <w:b w:val="0"/>
          <w:i w:val="0"/>
          <w:sz w:val="22"/>
        </w:rPr>
        <w:t>Thach Duc Tran, Huong Nguyen, Ian Shochet, Nga Nguyen, Nga La, Astrid Wurfl, Jayne Orr, Hau Nguyen, Ruby Stocker, &amp; Jane Fisher. (2023). School-based universal mental health promotion intervention for adolescents in Vietnam: Two-arm, parallel, controlled trial. Cambridge Prisms: Global Mental Health, 10, Article e69. https://doi.org/10.1017/gmh.2023.66</w:t>
      </w:r>
    </w:p>
    <w:p>
      <w:r>
        <w:rPr>
          <w:rFonts w:ascii="Times New Roman" w:hAnsi="Times New Roman"/>
          <w:b w:val="0"/>
          <w:i w:val="0"/>
          <w:sz w:val="22"/>
        </w:rPr>
        <w:t>Viện Xã hội học, Đại học Queensland, &amp; Đại học Johns Hopkins. (2022). Viet Nam adolescent mental health survey (V-NAMHS): Report on main findings. Viện Xã hội học.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2026-04-15T09:00:00Z</dcterms:created>
  <dcterms:modified xsi:type="dcterms:W3CDTF">2026-05-16T10:00:00Z</dcterms:modified>
  <cp:category/>
</cp:coreProperties>
</file>