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Khoảng trống can thiệp rối loạn lo âu ở học sinh trung học cơ sở</w:t>
      </w:r>
    </w:p>
    <w:p>
      <w:pPr>
        <w:jc w:val="both"/>
      </w:pPr>
      <w:r>
        <w:rPr>
          <w:rFonts w:ascii="Times New Roman" w:hAnsi="Times New Roman"/>
          <w:sz w:val="26"/>
        </w:rPr>
        <w:t>Tổng quan tài liệu phục vụ luận án tiến sĩ Tâm lý học (bản mở rộng FULL — 26/05/2026)</w:t>
      </w:r>
    </w:p>
    <w:p/>
    <w:p>
      <w:pPr>
        <w:pStyle w:val="Heading1"/>
      </w:pPr>
      <w:r>
        <w:rPr>
          <w:rFonts w:ascii="Times New Roman" w:hAnsi="Times New Roman"/>
          <w:color w:val="000000"/>
        </w:rPr>
        <w:t>1. Mở đầu chương</w:t>
      </w:r>
    </w:p>
    <w:p>
      <w:pPr>
        <w:ind w:firstLine="567"/>
        <w:jc w:val="both"/>
      </w:pPr>
      <w:r>
        <w:rPr>
          <w:rFonts w:ascii="Times New Roman" w:hAnsi="Times New Roman"/>
          <w:sz w:val="26"/>
        </w:rPr>
        <w:t>Rối loạn lo âu ở học sinh trung học cơ sở (HSTHCS) là một vấn đề sức khỏe tâm thần đang được ghi nhận với tỷ lệ ngày càng cao tại Việt Nam và trên thế giới. Trên cơ sở kết quả tổng hợp về yếu tố nguy cơ đã trình bày ở chương trước, chương này tập trung vào câu hỏi: với mỗi loại nguy cơ đã được nhận diện, hiện có những can thiệp tâm lý nào đã được kiểm định bằng bằng chứng thực nghiệm, và những hình thức can thiệp nào khả thi trong bối cảnh giáo dục và hệ thống chăm sóc sức khỏe tâm thần của Việt Nam? Trả lời câu hỏi này là bước chuyển từ "biết nguy cơ" sang "biết cách giảm nguy cơ", và là nền tảng cho phần thực trạng và thực nghiệm ở các chương sau của luận án.</w:t>
      </w:r>
    </w:p>
    <w:p>
      <w:pPr>
        <w:ind w:firstLine="567"/>
        <w:jc w:val="both"/>
      </w:pPr>
      <w:r>
        <w:rPr>
          <w:rFonts w:ascii="Times New Roman" w:hAnsi="Times New Roman"/>
          <w:sz w:val="26"/>
        </w:rPr>
        <w:t>Liệu pháp nhận thức – hành vi (Cognitive Behavioral Therapy – CBT) thường được coi là tiếp cận chuẩn vàng cho điều trị rối loạn lo âu ở trẻ em – vị thành niên. Phát triển từ nền tảng lý thuyết của Beck (1976) và được kiểm định hiệu quả trên trẻ em từ thử nghiệm lâm sàng ngẫu nhiên đầu tiên của Kendall (1994), CBT đã trải qua hơn bốn thập kỷ thử nghiệm thực nghiệm và hiện được phân nhánh thành nhiều phiên bản giao thức khác nhau. Các giao thức tiêu biểu gồm Coping Cat của Kendall ở Hoa Kỳ, FRIENDS phát triển từ công trình của Barrett, Dadds và Rapee (1996) tại Úc và sau đó tiếp nối bởi Cool Kids, và các bản địa hóa cho khu vực châu Á như Journey of the Brave tại Nhật Bản (Urao và cộng sự, 2018; Urao và cộng sự, 2022).</w:t>
      </w:r>
    </w:p>
    <w:p>
      <w:pPr>
        <w:ind w:firstLine="567"/>
        <w:jc w:val="both"/>
      </w:pPr>
      <w:r>
        <w:rPr>
          <w:rFonts w:ascii="Times New Roman" w:hAnsi="Times New Roman"/>
          <w:sz w:val="26"/>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Tổng quan hệ thống và phân tích mạng lưới của Liu và cộng sự (2025) trên 52 thử nghiệm lâm sàng ngẫu nhiên ở bệnh nhân rối loạn lo âu tổng quát — chủ yếu là người trưởng thành — cho thấy CBT cá nhân được xếp hạng hiệu quả cao nhất trong số các hình thức cung cấp. Phân tích mạng lưới riêng cho rối loạn lo âu xã hội ở trẻ em – vị thành niên của Xian và cộng sự (2024) báo cáo kết quả cùng hướng, trong đó các hình thức CBT — đặc biệt là CBT qua internet — được xếp hạng hiệu quả cao nhất. Trên phương diện học đường, phân tích tổng hợp của Cai và cộng sự (2025) ghi nhận các chương trình tại trường có hiệu ứng tổng hợp nhỏ trên năng lực phục hồi tâm lý — một cấu trúc bảo vệ có liên quan đến việc giảm nguy cơ lo âu.</w:t>
      </w:r>
    </w:p>
    <w:p>
      <w:pPr>
        <w:ind w:firstLine="567"/>
        <w:jc w:val="both"/>
      </w:pPr>
      <w:r>
        <w:rPr>
          <w:rFonts w:ascii="Times New Roman" w:hAnsi="Times New Roman"/>
          <w:sz w:val="26"/>
        </w:rPr>
        <w:t>Trong bối cảnh chuyển đổi số mạnh mẽ và sự gia tăng tỷ lệ sở hữu điện thoại thông minh ở vị thành niên, can thiệp CBT qua nền tảng số (Digital Mental Health Intervention – DMHI) ngày càng được chú ý. Phân tích tổng hợp của Walder và cộng sự (2025) trên 21 thử nghiệm lâm sàng ngẫu nhiên về can thiệp số cho rối loạn lo âu xã hội ở trẻ em, vị thành niên và thanh niên trẻ báo cáo hiệu ứng tổng hợp g = 0,508, trong đó nhóm can thiệp số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pPr>
        <w:ind w:firstLine="567"/>
        <w:jc w:val="both"/>
      </w:pPr>
      <w:r>
        <w:rPr>
          <w:rFonts w:ascii="Times New Roman" w:hAnsi="Times New Roman"/>
          <w:sz w:val="26"/>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Chương này hệ thống hóa các nghiên cứu công bố giai đoạn 2015–2026 theo ba nhóm: (i) CBT đã xác nhận hiệu quả qua thử nghiệm lâm sàng, (ii) CBT triển khai tại trường, và (iii) CBT qua nền tảng số. Bên cạnh đó, chương cũng thảo luận về các mô hình kết hợp như chăm sóc theo bậc (stepped care) và can thiệp pha trộn (blended) — những mô hình có tiềm năng giải quyết bài toán phân tầng dịch vụ trong điều kiện nguồn lực hạn chế của Việt Nam.</w:t>
      </w:r>
    </w:p>
    <w:p>
      <w:pPr>
        <w:ind w:firstLine="567"/>
        <w:jc w:val="both"/>
      </w:pPr>
      <w:r>
        <w:rPr>
          <w:rFonts w:ascii="Times New Roman" w:hAnsi="Times New Roman"/>
          <w:sz w:val="26"/>
        </w:rPr>
        <w:t>Mục tiêu của chương là đặt nền tảng tổng quan cho các thiết kế nghiên cứu can thiệp ưu tiên tại Việt Nam giai đoạn 2026–2030. Tổng quan này, kết hợp với chương về yếu tố nguy cơ, tạo thành một cặp tham chiếu hai chiều: yếu tố nguy cơ chỉ ra "đâu là điểm cần tác động", còn các can thiệp hiệu quả chỉ ra "tác động bằng cách nào". Sự ghép nối này là điều kiện cần để các chương thực trạng và thực nghiệm tiếp theo có thể đề xuất một mô hình can thiệp phù hợp với điều kiện văn hóa, giáo dục và y tế của Việt Nam.</w:t>
      </w:r>
    </w:p>
    <w:p>
      <w:pPr>
        <w:pStyle w:val="Heading1"/>
      </w:pPr>
      <w:r>
        <w:rPr>
          <w:rFonts w:ascii="Times New Roman" w:hAnsi="Times New Roman"/>
          <w:color w:val="000000"/>
        </w:rPr>
        <w:t>2. Khung lý thuyết phân tích can thiệp tâm lý</w:t>
      </w:r>
    </w:p>
    <w:p>
      <w:pPr>
        <w:ind w:firstLine="567"/>
        <w:jc w:val="both"/>
      </w:pPr>
      <w:r>
        <w:rPr>
          <w:rFonts w:ascii="Times New Roman" w:hAnsi="Times New Roman"/>
          <w:sz w:val="26"/>
        </w:rPr>
        <w:t>Phân tích các nghiên cứu can thiệp đòi hỏi một khung lý thuyết kép: một khung về cơ chế can thiệp (CBT làm gì và tác động qua kênh nào) và một khung về cấp độ dịch vụ (can thiệp được tổ chức theo tầng nào trong hệ thống chăm sóc). Mục này trình bày ba khung lý thuyết được sử dụng xuyên suốt chương: khung sức khỏe tâm thần cộng đồng ba tầng của Mrazek và Haggerty (1994), khung CBT cho trẻ em – vị thành niên xuất phát từ Beck (1976) và được mở rộng bởi Kendall (1994) cùng Barrett, Dadds, Rapee (1996), và khung tích hợp ba kênh can thiệp đề xuất cho HSTHCS Việt Nam.</w:t>
      </w:r>
    </w:p>
    <w:p>
      <w:pPr>
        <w:pStyle w:val="Heading2"/>
      </w:pPr>
      <w:r>
        <w:rPr>
          <w:rFonts w:ascii="Times New Roman" w:hAnsi="Times New Roman"/>
          <w:color w:val="000000"/>
        </w:rPr>
        <w:t>2.1. Khung sức khỏe tâm thần cộng đồng ba tầng</w:t>
      </w:r>
    </w:p>
    <w:p>
      <w:pPr>
        <w:ind w:firstLine="567"/>
        <w:jc w:val="both"/>
      </w:pPr>
      <w:r>
        <w:rPr>
          <w:rFonts w:ascii="Times New Roman" w:hAnsi="Times New Roman"/>
          <w:sz w:val="26"/>
        </w:rPr>
        <w:t>Báo cáo của Viện Y học Hoa Kỳ do Mrazek và Haggerty (1994) chủ biên đề xuất khung phân tầng can thiệp phòng ngừa thành ba loại: phổ quát (universal), chọn lọc (selective), và chỉ định (indicated). Can thiệp phổ quát hướng tới toàn bộ dân số mục tiêu mà không qua sàng lọc — ví dụ tích hợp giáo dục cảm xúc – xã hội vào chương trình môn học chính khóa. Can thiệp chọn lọc hướng tới nhóm có nguy cơ cao nhưng chưa có triệu chứng — ví dụ học sinh sống trong gia đình có cha mẹ ly hôn hoặc có anh chị em mắc rối loạn lo âu. Can thiệp chỉ định hướng tới các cá nhân đã có triệu chứng cận lâm sàng — ví dụ học sinh được sàng lọc dương tính với thang đo lo âu nhưng chưa đạt ngưỡng chẩn đoán lâm sàng. Mỗi tầng có triết lý, mục tiêu kết cục và yêu cầu nguồn lực khác nhau.</w:t>
      </w:r>
    </w:p>
    <w:p>
      <w:pPr>
        <w:ind w:firstLine="567"/>
        <w:jc w:val="both"/>
      </w:pPr>
      <w:r>
        <w:rPr>
          <w:rFonts w:ascii="Times New Roman" w:hAnsi="Times New Roman"/>
          <w:sz w:val="26"/>
        </w:rPr>
        <w:t>Khung ba tầng có hai hệ quả quan trọng cho phân tích chương này. Thứ nhất, các phân tích tổng hợp như của Cai và cộng sự (2025) về can thiệp tại trường thường gộp cả ba tầng vào một ước tính hiệu ứng tổng hợp, dẫn tới hiệu ứng trung bình bị kéo nhỏ — tầng phổ quát có cỡ hiệu ứng thấp hơn vì áp dụng cho cả những học sinh không có vấn đề. Đánh giá đúng hiệu quả cần phân tách theo tầng. Thứ hai, một hệ thống can thiệp khả thi cho Việt Nam phải có cả ba tầng: tầng phổ quát chi phí thấp tích hợp vào giáo dục công dân hoặc hoạt động trải nghiệm; tầng chọn lọc dành cho nhóm rủi ro cao như học sinh chuyển trường, học sinh có rối loạn học tập; và tầng chỉ định dành cho học sinh có triệu chứng cận lâm sàng được phát hiện qua sàng lọc trường học.</w:t>
      </w:r>
    </w:p>
    <w:p>
      <w:pPr>
        <w:pStyle w:val="Heading2"/>
      </w:pPr>
      <w:r>
        <w:rPr>
          <w:rFonts w:ascii="Times New Roman" w:hAnsi="Times New Roman"/>
          <w:color w:val="000000"/>
        </w:rPr>
        <w:t>2.2. Khung CBT cho trẻ em – vị thành niên</w:t>
      </w:r>
    </w:p>
    <w:p>
      <w:pPr>
        <w:ind w:firstLine="567"/>
        <w:jc w:val="both"/>
      </w:pPr>
      <w:r>
        <w:rPr>
          <w:rFonts w:ascii="Times New Roman" w:hAnsi="Times New Roman"/>
          <w:sz w:val="26"/>
        </w:rPr>
        <w:t>Mô hình CBT cổ điển của Beck (1976) đặt nền tảng trên giả định rằng các mô hình nhận thức không thích nghi (cognitive distortions) duy trì các phản ứng cảm xúc tiêu cực; can thiệp tập trung vào nhận diện, thử nghiệm và điều chỉnh các suy nghĩ tự động cùng các niềm tin cốt lõi. Đối với trẻ em – vị thành niên, do năng lực nhận thức về siêu nhận thức (metacognition) chưa hoàn thiện, các giao thức gốc của Beck cần được mở rộng để tích hợp thêm các thành phần hành vi như tiếp xúc dần (graded exposure), kỹ thuật thư giãn, và các bài tập tăng cường nhận thức cảm xúc.</w:t>
      </w:r>
    </w:p>
    <w:p>
      <w:pPr>
        <w:ind w:firstLine="567"/>
        <w:jc w:val="both"/>
      </w:pPr>
      <w:r>
        <w:rPr>
          <w:rFonts w:ascii="Times New Roman" w:hAnsi="Times New Roman"/>
          <w:sz w:val="26"/>
        </w:rPr>
        <w:t>Thử nghiệm lâm sàng ngẫu nhiên đầu tiên về CBT cho trẻ em mắc rối loạn lo âu là của Kendall (1994) – công trình giới thiệu chương trình Coping Cat, một giao thức 16 buổi cho trẻ 9–13 tuổi mắc rối loạn lo âu chia ly, rối loạn lo âu tổng quát hoặc rối loạn lo âu xã hội. Coping Cat sử dụng cấu trúc FEAR — viết tắt của Feeling frightened, Expecting bad things, Attitudes and actions, Results and rewards — như một công cụ ghi nhớ giúp trẻ tự áp dụng các bước CBT. Ngay sau đó, Barrett, Dadds và Rapee (1996) tại Úc phát triển chương trình can thiệp gia đình (FAM-CBT) — về sau trở thành nền tảng cho các giao thức như FRIENDS và Cool Kids, bổ sung thành phần gia đình vào giao thức và mở rộng đối tượng sang nhóm vị thành niên. Hai chương trình này, cùng với các bản kế thừa của chúng ở các quốc gia khác, đã được kiểm chứng qua hàng trăm thử nghiệm lâm sàng ngẫu nhiên trong ba thập kỷ qua.</w:t>
      </w:r>
    </w:p>
    <w:p>
      <w:pPr>
        <w:ind w:firstLine="567"/>
        <w:jc w:val="both"/>
      </w:pPr>
      <w:r>
        <w:rPr>
          <w:rFonts w:ascii="Times New Roman" w:hAnsi="Times New Roman"/>
          <w:sz w:val="26"/>
        </w:rPr>
        <w:t>Bản địa hóa CBT cho từng nền văn hóa là vấn đề liên tục được thảo luận.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Đối với Việt Nam, ba yếu tố văn hóa đặc biệt cần lưu ý là: vai trò của gia đình mở rộng (ông bà, cô dì) trong nuôi dạy con cái; kỳ thị xã hội đối với "bệnh tâm thần" vẫn còn cao; và niềm tin tâm linh có thể đóng vai trò vừa bảo vệ vừa cản trở khi định hướng tìm kiếm hỗ trợ chuyên môn.</w:t>
      </w:r>
    </w:p>
    <w:p>
      <w:pPr>
        <w:pStyle w:val="Heading2"/>
      </w:pPr>
      <w:r>
        <w:rPr>
          <w:rFonts w:ascii="Times New Roman" w:hAnsi="Times New Roman"/>
          <w:color w:val="000000"/>
        </w:rPr>
        <w:t>2.3. Khung tích hợp ba kênh can thiệp cho HSTHCS Việt Nam</w:t>
      </w:r>
    </w:p>
    <w:p>
      <w:pPr>
        <w:ind w:firstLine="567"/>
        <w:jc w:val="both"/>
      </w:pPr>
      <w:r>
        <w:rPr>
          <w:rFonts w:ascii="Times New Roman" w:hAnsi="Times New Roman"/>
          <w:sz w:val="26"/>
        </w:rPr>
        <w:t>Trên cơ sở khung ba tầng của Mrazek-Haggerty và khung CBT đã trình bày, luận án đề xuất một khung phân tích tích hợp với ba kênh cung cấp can thiệp: (i) kênh lâm sàng — CBT cá nhân hoặc nhóm thực hiện bởi nhà tâm lý lâm sàng tại bệnh viện hoặc phòng tham vấn chuyên khoa; (ii) kênh trường học — CBT triển khai bởi giáo viên tâm lý học đường hoặc giáo viên chủ nhiệm được đào tạo, lồng ghép vào chương trình môn học hoặc hoạt động trải nghiệm; (iii) kênh số — CBT cung cấp qua ứng dụng điện thoại, nền tảng internet hoặc mô hình pha trộn (blended). Ba kênh này không loại trừ lẫn nhau mà có thể vận hành đồng thời và bổ sung cho nhau trong một hệ thống chăm sóc đa tầng.</w:t>
      </w:r>
    </w:p>
    <w:p>
      <w:pPr>
        <w:ind w:firstLine="567"/>
        <w:jc w:val="both"/>
      </w:pPr>
      <w:r>
        <w:rPr>
          <w:rFonts w:ascii="Times New Roman" w:hAnsi="Times New Roman"/>
          <w:sz w:val="26"/>
        </w:rPr>
        <w:t>Mỗi kênh có ưu thế và giới hạn riêng. Kênh lâm sàng có chất lượng chuyên môn cao nhất, phù hợp cho học sinh có triệu chứng nặng hoặc có rối loạn đồng diễn, nhưng có khả năng tiếp cận thấp do thiếu nhân lực chuyên khoa và chi phí cao. Kênh trường học có tiềm năng tiếp cận lớn nhất do trường học là nơi học sinh đến hằng ngày, đồng thời giảm rào cản kỳ thị và chi phí; tuy nhiên chất lượng can thiệp phụ thuộc vào năng lực và thời gian của giáo viên. Kênh số có ưu thế về quy mô và linh hoạt thời gian, nhưng phụ thuộc vào điều kiện thiết bị, kết nối internet và động lực tự thân của học sinh để duy trì sử dụng.</w:t>
      </w:r>
    </w:p>
    <w:p>
      <w:pPr>
        <w:ind w:firstLine="567"/>
        <w:jc w:val="both"/>
      </w:pPr>
      <w:r>
        <w:rPr>
          <w:rFonts w:ascii="Times New Roman" w:hAnsi="Times New Roman"/>
          <w:sz w:val="26"/>
        </w:rPr>
        <w:t>Khung tích hợp gợi ý một mô hình chăm sóc theo bậc (stepped care) cho Việt Nam, dựa trên nguyên lý của Bower và Gilbody (2005): học sinh được phân bậc tiếp cận theo mức độ triệu chứng và đáp ứng. Bậc 1 (mức độ cận lâm sàng nhẹ): can thiệp số tự hướng dẫn hoặc tài liệu tự giúp; nếu không cải thiện sau 4–6 tuần, chuyển lên bậc 2. Bậc 2 (mức độ cận lâm sàng vừa): CBT nhóm tại trường do giáo viên tâm lý dẫn dắt, hoặc can thiệp số có hướng dẫn; nếu không cải thiện hoặc triệu chứng nặng lên, chuyển lên bậc 3. Bậc 3 (mức độ lâm sàng): CBT cá nhân với nhà tâm lý lâm sàng, kết hợp tâm thần khoa khi cần thiết. Mô hình stepped care cho phép sử dụng hiệu quả nguồn lực chuyên môn hạn chế bằng cách dành can thiệp chuyên sâu cho những trường hợp thực sự cần.</w:t>
      </w:r>
    </w:p>
    <w:p>
      <w:pPr>
        <w:jc w:val="center"/>
      </w:pPr>
      <w:r>
        <w:rPr>
          <w:rFonts w:ascii="Times New Roman" w:hAnsi="Times New Roman"/>
          <w:i/>
          <w:sz w:val="22"/>
        </w:rPr>
        <w:t>Bảng 1. Khung tích hợp ba kênh × ba tầng can thiệp cho HSTHCS Việt Nam</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Tầng / Kênh</w:t>
            </w:r>
          </w:p>
        </w:tc>
        <w:tc>
          <w:tcPr>
            <w:tcW w:w="2268" w:type="dxa"/>
            <w:shd w:fill="D9E2F3" w:val="clear"/>
          </w:tcPr>
          <w:p>
            <w:pPr>
              <w:jc w:val="center"/>
            </w:pPr>
            <w:r>
              <w:rPr>
                <w:rFonts w:ascii="Times New Roman" w:hAnsi="Times New Roman"/>
                <w:b/>
                <w:sz w:val="20"/>
              </w:rPr>
              <w:t>Kênh lâm sàng</w:t>
            </w:r>
          </w:p>
        </w:tc>
        <w:tc>
          <w:tcPr>
            <w:tcW w:w="2268" w:type="dxa"/>
            <w:shd w:fill="D9E2F3" w:val="clear"/>
          </w:tcPr>
          <w:p>
            <w:pPr>
              <w:jc w:val="center"/>
            </w:pPr>
            <w:r>
              <w:rPr>
                <w:rFonts w:ascii="Times New Roman" w:hAnsi="Times New Roman"/>
                <w:b/>
                <w:sz w:val="20"/>
              </w:rPr>
              <w:t>Kênh trường học</w:t>
            </w:r>
          </w:p>
        </w:tc>
        <w:tc>
          <w:tcPr>
            <w:tcW w:w="2268" w:type="dxa"/>
            <w:shd w:fill="D9E2F3" w:val="clear"/>
          </w:tcPr>
          <w:p>
            <w:pPr>
              <w:jc w:val="center"/>
            </w:pPr>
            <w:r>
              <w:rPr>
                <w:rFonts w:ascii="Times New Roman" w:hAnsi="Times New Roman"/>
                <w:b/>
                <w:sz w:val="20"/>
              </w:rPr>
              <w:t>Kênh số</w:t>
            </w:r>
          </w:p>
        </w:tc>
      </w:tr>
      <w:tr>
        <w:tc>
          <w:tcPr>
            <w:tcW w:w="1984" w:type="dxa"/>
          </w:tcPr>
          <w:p>
            <w:pPr>
              <w:jc w:val="both"/>
            </w:pPr>
            <w:r>
              <w:rPr>
                <w:rFonts w:ascii="Times New Roman" w:hAnsi="Times New Roman"/>
                <w:sz w:val="20"/>
              </w:rPr>
              <w:t>Phổ quát</w:t>
            </w:r>
          </w:p>
        </w:tc>
        <w:tc>
          <w:tcPr>
            <w:tcW w:w="2268" w:type="dxa"/>
          </w:tcPr>
          <w:p>
            <w:pPr>
              <w:jc w:val="both"/>
            </w:pPr>
            <w:r>
              <w:rPr>
                <w:rFonts w:ascii="Times New Roman" w:hAnsi="Times New Roman"/>
                <w:sz w:val="20"/>
              </w:rPr>
              <w:t>Không phù hợp</w:t>
            </w:r>
          </w:p>
        </w:tc>
        <w:tc>
          <w:tcPr>
            <w:tcW w:w="2268" w:type="dxa"/>
          </w:tcPr>
          <w:p>
            <w:pPr>
              <w:jc w:val="both"/>
            </w:pPr>
            <w:r>
              <w:rPr>
                <w:rFonts w:ascii="Times New Roman" w:hAnsi="Times New Roman"/>
                <w:sz w:val="20"/>
              </w:rPr>
              <w:t>Giáo dục cảm xúc – xã hội lồng ghép môn học</w:t>
            </w:r>
          </w:p>
        </w:tc>
        <w:tc>
          <w:tcPr>
            <w:tcW w:w="2268" w:type="dxa"/>
          </w:tcPr>
          <w:p>
            <w:pPr>
              <w:jc w:val="both"/>
            </w:pPr>
            <w:r>
              <w:rPr>
                <w:rFonts w:ascii="Times New Roman" w:hAnsi="Times New Roman"/>
                <w:sz w:val="20"/>
              </w:rPr>
              <w:t>Ứng dụng tự học miễn phí</w:t>
            </w:r>
          </w:p>
        </w:tc>
      </w:tr>
      <w:tr>
        <w:tc>
          <w:tcPr>
            <w:tcW w:w="1984" w:type="dxa"/>
          </w:tcPr>
          <w:p>
            <w:pPr>
              <w:jc w:val="both"/>
            </w:pPr>
            <w:r>
              <w:rPr>
                <w:rFonts w:ascii="Times New Roman" w:hAnsi="Times New Roman"/>
                <w:sz w:val="20"/>
              </w:rPr>
              <w:t>Chọn lọc</w:t>
            </w:r>
          </w:p>
        </w:tc>
        <w:tc>
          <w:tcPr>
            <w:tcW w:w="2268" w:type="dxa"/>
          </w:tcPr>
          <w:p>
            <w:pPr>
              <w:jc w:val="both"/>
            </w:pPr>
            <w:r>
              <w:rPr>
                <w:rFonts w:ascii="Times New Roman" w:hAnsi="Times New Roman"/>
                <w:sz w:val="20"/>
              </w:rPr>
              <w:t>Tham vấn ngắn 4–6 buổi cho nhóm rủi ro</w:t>
            </w:r>
          </w:p>
        </w:tc>
        <w:tc>
          <w:tcPr>
            <w:tcW w:w="2268" w:type="dxa"/>
          </w:tcPr>
          <w:p>
            <w:pPr>
              <w:jc w:val="both"/>
            </w:pPr>
            <w:r>
              <w:rPr>
                <w:rFonts w:ascii="Times New Roman" w:hAnsi="Times New Roman"/>
                <w:sz w:val="20"/>
              </w:rPr>
              <w:t>CBT nhóm 6–8 buổi cho học sinh sàng lọc dương tính</w:t>
            </w:r>
          </w:p>
        </w:tc>
        <w:tc>
          <w:tcPr>
            <w:tcW w:w="2268" w:type="dxa"/>
          </w:tcPr>
          <w:p>
            <w:pPr>
              <w:jc w:val="both"/>
            </w:pPr>
            <w:r>
              <w:rPr>
                <w:rFonts w:ascii="Times New Roman" w:hAnsi="Times New Roman"/>
                <w:sz w:val="20"/>
              </w:rPr>
              <w:t>Can thiệp số có hướng dẫn từ xa</w:t>
            </w:r>
          </w:p>
        </w:tc>
      </w:tr>
      <w:tr>
        <w:tc>
          <w:tcPr>
            <w:tcW w:w="1984" w:type="dxa"/>
          </w:tcPr>
          <w:p>
            <w:pPr>
              <w:jc w:val="both"/>
            </w:pPr>
            <w:r>
              <w:rPr>
                <w:rFonts w:ascii="Times New Roman" w:hAnsi="Times New Roman"/>
                <w:sz w:val="20"/>
              </w:rPr>
              <w:t>Chỉ định</w:t>
            </w:r>
          </w:p>
        </w:tc>
        <w:tc>
          <w:tcPr>
            <w:tcW w:w="2268" w:type="dxa"/>
          </w:tcPr>
          <w:p>
            <w:pPr>
              <w:jc w:val="both"/>
            </w:pPr>
            <w:r>
              <w:rPr>
                <w:rFonts w:ascii="Times New Roman" w:hAnsi="Times New Roman"/>
                <w:sz w:val="20"/>
              </w:rPr>
              <w:t>CBT cá nhân 12–16 buổi với chuyên gia</w:t>
            </w:r>
          </w:p>
        </w:tc>
        <w:tc>
          <w:tcPr>
            <w:tcW w:w="2268" w:type="dxa"/>
          </w:tcPr>
          <w:p>
            <w:pPr>
              <w:jc w:val="both"/>
            </w:pPr>
            <w:r>
              <w:rPr>
                <w:rFonts w:ascii="Times New Roman" w:hAnsi="Times New Roman"/>
                <w:sz w:val="20"/>
              </w:rPr>
              <w:t>Tham vấn cá nhân tại trường + chuyển tuyến</w:t>
            </w:r>
          </w:p>
        </w:tc>
        <w:tc>
          <w:tcPr>
            <w:tcW w:w="2268" w:type="dxa"/>
          </w:tcPr>
          <w:p>
            <w:pPr>
              <w:jc w:val="both"/>
            </w:pPr>
            <w:r>
              <w:rPr>
                <w:rFonts w:ascii="Times New Roman" w:hAnsi="Times New Roman"/>
                <w:sz w:val="20"/>
              </w:rPr>
              <w:t>Blended: ứng dụng + tham vấn từ xa định kỳ</w:t>
            </w:r>
          </w:p>
        </w:tc>
      </w:tr>
    </w:tbl>
    <w:p>
      <w:pPr>
        <w:pStyle w:val="Heading2"/>
      </w:pPr>
      <w:r>
        <w:rPr>
          <w:rFonts w:ascii="Times New Roman" w:hAnsi="Times New Roman"/>
          <w:color w:val="000000"/>
        </w:rPr>
        <w:t>2.4. Phê phán và giới hạn của khung tích hợp</w:t>
      </w:r>
    </w:p>
    <w:p>
      <w:pPr>
        <w:ind w:firstLine="567"/>
        <w:jc w:val="both"/>
      </w:pPr>
      <w:r>
        <w:rPr>
          <w:rFonts w:ascii="Times New Roman" w:hAnsi="Times New Roman"/>
          <w:sz w:val="26"/>
        </w:rPr>
        <w:t>Khung tích hợp đề xuất có ba giới hạn cần lưu ý. Thứ nhất, khung dựa trên giả định rằng cả ba kênh có thể triển khai song song, trong khi thực tế Việt Nam hiện thiếu trầm trọng nhân lực kênh lâm sàng và chưa có nền tảng kênh số tiếng Việt được kiểm định cho HSTHCS. Việc xây dựng đồng bộ ba kênh sẽ đòi hỏi thời gian và đầu tư đáng kể. Thứ hai, mô hình stepped care giả định tồn tại một hệ thống sàng lọc – chuyển tuyến vận hành ổn định, nhưng hiện chưa có quy trình chuẩn nào về sàng lọc lo âu cho học sinh THCS trong hệ thống giáo dục Việt Nam. Thứ ba, khung này chủ yếu dựa trên các nghiên cứu can thiệp ở các nước thu nhập cao và Trung Quốc, có thể không phản ánh hết đặc thù của khu vực nông thôn, miền núi và dân tộc thiểu số Việt Nam.</w:t>
      </w:r>
    </w:p>
    <w:p>
      <w:pPr>
        <w:ind w:firstLine="567"/>
        <w:jc w:val="both"/>
      </w:pPr>
      <w:r>
        <w:rPr>
          <w:rFonts w:ascii="Times New Roman" w:hAnsi="Times New Roman"/>
          <w:sz w:val="26"/>
        </w:rPr>
        <w:t>Mặc dù có những giới hạn nêu trên, khung tích hợp vẫn cung cấp một công cụ phân tích hữu ích để: (i) phân loại các nghiên cứu hiện có theo kênh cung cấp, làm rõ chỗ nào đã có bằng chứng và chỗ nào còn khoảng trống; (ii) đề xuất các thiết kế nghiên cứu can thiệp tương lai theo hướng tích hợp ba kênh thay vì chỉ chọn một; (iii) định hướng các khuyến nghị chính sách về phân bổ nguồn lực giữa hệ thống chuyên khoa, hệ thống giáo dục và phát triển công nghệ.</w:t>
      </w:r>
    </w:p>
    <w:p>
      <w:pPr>
        <w:pStyle w:val="Heading1"/>
      </w:pPr>
      <w:r>
        <w:rPr>
          <w:rFonts w:ascii="Times New Roman" w:hAnsi="Times New Roman"/>
          <w:color w:val="000000"/>
        </w:rPr>
        <w:t>3. Phương pháp tổng quan tài liệu</w:t>
      </w:r>
    </w:p>
    <w:p>
      <w:pPr>
        <w:pStyle w:val="Heading2"/>
      </w:pPr>
      <w:r>
        <w:rPr>
          <w:rFonts w:ascii="Times New Roman" w:hAnsi="Times New Roman"/>
          <w:color w:val="000000"/>
        </w:rPr>
        <w:t>3.1. Cách tiếp cận</w:t>
      </w:r>
    </w:p>
    <w:p>
      <w:pPr>
        <w:ind w:firstLine="567"/>
        <w:jc w:val="both"/>
      </w:pPr>
      <w:r>
        <w:rPr>
          <w:rFonts w:ascii="Times New Roman" w:hAnsi="Times New Roman"/>
          <w:sz w:val="26"/>
        </w:rPr>
        <w:t>Chương này áp dụng thiết kế tổng quan tự sự (narrative review) thay vì tổng quan hệ thống chính thức (systematic review). Lựa chọn thiết kế dựa trên ba lý do: (i) phạm vi của tổng quan trải dài ba kênh can thiệp với các thiết kế nghiên cứu khác nhau (RCT, tựa thực nghiệm, pilot, phân tích tổng hợp), cần một khung tổng hợp linh hoạt đủ để gộp các dạng bằng chứng này; (ii) mục tiêu của tổng quan là nhận diện khoảng trống và đề xuất hướng nghiên cứu tương lai cho Việt Nam, hơn là ước tính một hiệu ứng tổng hợp duy nhất; (iii) số lượng nghiên cứu can thiệp về CBT cho rối loạn lo âu trong bối cảnh Việt Nam còn quá ít để áp dụng phân tích tổng hợp định lượng. Mặc dù vậy, để duy trì sự nghiêm túc của khâu chọn lọc và đánh giá, tổng quan tự sự ở đây áp dụng một số nguyên tắc của tổng quan hệ thống về tiêu chí lựa chọn, đối chiếu nguồn gốc và đánh giá chất lượng nghiên cứu.</w:t>
      </w:r>
    </w:p>
    <w:p>
      <w:pPr>
        <w:pStyle w:val="Heading2"/>
      </w:pPr>
      <w:r>
        <w:rPr>
          <w:rFonts w:ascii="Times New Roman" w:hAnsi="Times New Roman"/>
          <w:color w:val="000000"/>
        </w:rPr>
        <w:t>3.2. Tiêu chí lựa chọn tài liệu</w:t>
      </w:r>
    </w:p>
    <w:p>
      <w:pPr>
        <w:ind w:firstLine="567"/>
        <w:jc w:val="both"/>
      </w:pPr>
      <w:r>
        <w:rPr>
          <w:rFonts w:ascii="Times New Roman" w:hAnsi="Times New Roman"/>
          <w:sz w:val="26"/>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Kendall (1994) cho thử nghiệm lâm sàng ngẫu nhiên đầu tiên về CBT trên trẻ em mắc rối loạn lo âu, Barrett-Dadds-Rapee (1996) cho can thiệp gia đình, hay khung phòng ngừa ba tầng của Mrazek và Haggerty (1994).</w:t>
      </w:r>
    </w:p>
    <w:p>
      <w:pPr>
        <w:ind w:firstLine="567"/>
        <w:jc w:val="both"/>
      </w:pPr>
      <w:r>
        <w:rPr>
          <w:rFonts w:ascii="Times New Roman" w:hAnsi="Times New Roman"/>
          <w:sz w:val="26"/>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 — ví dụ Bress và cộng sự (2024) có mẫu 18–25 tuổi vẫn được giữ lại vì cung cấp bằng chứng về hiệu quả của một ứng dụng CBT số được thiết kế chỉn chu, thông tin có ý nghĩa khi suy luận cho thiết kế can thiệp số cho lứa tuổi nhỏ hơn.</w:t>
      </w:r>
    </w:p>
    <w:p>
      <w:pPr>
        <w:ind w:firstLine="567"/>
        <w:jc w:val="both"/>
      </w:pPr>
      <w:r>
        <w:rPr>
          <w:rFonts w:ascii="Times New Roman" w:hAnsi="Times New Roman"/>
          <w:sz w:val="26"/>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cho trẻ em – vị thành niên (RCADS, SCAS, MASC, SCARED) hoặc các thước đo tổng (DASS-21, STAI). Các bài bình luận, ý kiến chuyên gia chưa qua bình duyệt cùng luận án tiến sĩ chưa bảo vệ không nằm trong danh sách trích dẫn của bài viết, ngoại trừ luận án tiến sĩ y học của Trần Nguyễn Ngọc (2018) — đã bảo vệ và là nguồn dữ liệu trong nước hiếm hoi về liệu pháp thư giãn trong điều trị rối loạn lo âu lan tỏa.</w:t>
      </w:r>
    </w:p>
    <w:p>
      <w:pPr>
        <w:pStyle w:val="Heading2"/>
      </w:pPr>
      <w:r>
        <w:rPr>
          <w:rFonts w:ascii="Times New Roman" w:hAnsi="Times New Roman"/>
          <w:color w:val="000000"/>
        </w:rPr>
        <w:t>3.3. Nguồn dữ liệu</w:t>
      </w:r>
    </w:p>
    <w:p>
      <w:pPr>
        <w:ind w:firstLine="567"/>
        <w:jc w:val="both"/>
      </w:pPr>
      <w:r>
        <w:rPr>
          <w:rFonts w:ascii="Times New Roman" w:hAnsi="Times New Roman"/>
          <w:sz w:val="26"/>
        </w:rPr>
        <w:t>Nguồn tài liệu phân tích trong chương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các nền tảng cơ sở dữ liệu điện tử PubMed, Web of Science, Scopus, PsycINFO và các bản truy cập mở của Lancet, BMC, Springer, Frontiers, JMIR, Wiley, JAMA Network. Các công trình tiếng Việt được tra cứu trong Tạp chí Y học Việt Nam, Tạp chí Tâm lý học, Tạp chí Khoa học Giáo dục Việt Nam cùng các kỷ yếu hội thảo quốc gia về sức khỏe tâm thần học đường.</w:t>
      </w:r>
    </w:p>
    <w:p>
      <w:pPr>
        <w:ind w:firstLine="567"/>
        <w:jc w:val="both"/>
      </w:pPr>
      <w:r>
        <w:rPr>
          <w:rFonts w:ascii="Times New Roman" w:hAnsi="Times New Roman"/>
          <w:sz w:val="26"/>
        </w:rPr>
        <w:t>Các từ khóa tìm kiếm tiếng Anh sử dụng là tổ hợp giữa nhóm thuật ngữ về can thiệp (cognitive behavioral therapy, CBT, school-based intervention, digital mental health intervention, smartphone app) và nhóm thuật ngữ về đối tượng (adolescent, child, young people, secondary school student, middle school student) cùng nhóm thuật ngữ về rối loạn (anxiety disorder, social anxiety, generalized anxiety, separation anxiety). Các từ khóa tiếng Việt tương ứng được sử dụng để tra cứu các nguồn trong nước.</w:t>
      </w:r>
    </w:p>
    <w:p>
      <w:pPr>
        <w:pStyle w:val="Heading2"/>
      </w:pPr>
      <w:r>
        <w:rPr>
          <w:rFonts w:ascii="Times New Roman" w:hAnsi="Times New Roman"/>
          <w:color w:val="000000"/>
        </w:rPr>
        <w:t>3.4. Quy trình trích xuất và thẩm định</w:t>
      </w:r>
    </w:p>
    <w:p>
      <w:pPr>
        <w:ind w:firstLine="567"/>
        <w:jc w:val="both"/>
      </w:pPr>
      <w:r>
        <w:rPr>
          <w:rFonts w:ascii="Times New Roman" w:hAnsi="Times New Roman"/>
          <w:sz w:val="26"/>
        </w:rPr>
        <w:t>Quy trình trích xuất tài liệu gồm bốn bước. Bước 1: rà soát tiêu đề và tóm tắt để loại bỏ các bài không liên quan. Bước 2: đọc toàn văn các bài đạt sàng lọc sơ bộ và trích xuất các thông tin định lượng quan trọng (cỡ mẫu, đặc điểm đối tượng, thiết kế nghiên cứu, can thiệp, thước đo kết cục, hiệu ứng tổng hợp). Bước 3: đối chiếu mỗi thông số định lượng nêu trong bản thảo với báo cáo gốc để bảo đảm tính chính xác. Bước 4: đánh giá chất lượng nghiên cứu theo các tiêu chí phù hợp với thiết kế (RoB 2 cho RCT, ROBINS-I cho nghiên cứu tựa thực nghiệm, AMSTAR-2 cho phân tích tổng hợp).</w:t>
      </w:r>
    </w:p>
    <w:p>
      <w:pPr>
        <w:ind w:firstLine="567"/>
        <w:jc w:val="both"/>
      </w:pPr>
      <w:r>
        <w:rPr>
          <w:rFonts w:ascii="Times New Roman" w:hAnsi="Times New Roman"/>
          <w:sz w:val="26"/>
        </w:rPr>
        <w:t>Trong khâu thực hiện bài viết, nhóm tác giả có dùng một mô hình ngôn ngữ lớn ở vai trò hỗ trợ kỹ thuật — tìm kiếm sơ bộ, kiểm tra chuẩn trích dẫn và rà soát hành văn. Toàn bộ phần đánh giá bằng chứng giữa các giao thức can thiệp, diễn giải kết quả và đề xuất hướng triển khai thuộc về trách nhiệm chuyên môn của nhóm. Mỗi thông số định lượng nêu trong bản thảo đều được đối chiếu lại với báo cáo gốc — quy trình tuân theo chính sách liêm chính nghiên cứu khi ứng dụng AI mà các tạp chí khoa học giáo dục Việt Nam đã công bố, đồng thời tham chiếu các nguyên tắc của Đạo luật AI châu Âu.</w:t>
      </w:r>
    </w:p>
    <w:p>
      <w:pPr>
        <w:pStyle w:val="Heading2"/>
      </w:pPr>
      <w:r>
        <w:rPr>
          <w:rFonts w:ascii="Times New Roman" w:hAnsi="Times New Roman"/>
          <w:color w:val="000000"/>
        </w:rPr>
        <w:t>3.5. Tổng hợp định tính và định lượng</w:t>
      </w:r>
    </w:p>
    <w:p>
      <w:pPr>
        <w:ind w:firstLine="567"/>
        <w:jc w:val="both"/>
      </w:pPr>
      <w:r>
        <w:rPr>
          <w:rFonts w:ascii="Times New Roman" w:hAnsi="Times New Roman"/>
          <w:sz w:val="26"/>
        </w:rPr>
        <w:t>Do thiết kế tổng quan tự sự, tổng hợp định lượng (meta-analysis) không được thực hiện trong chương này. Thay vào đó, các hiệu ứng tổng hợp được trích xuất trực tiếp từ các phân tích tổng hợp đã công bố — ví dụ g = 0,508 của Walder và cộng sự (2025), SMD = 0,17 của Cai và cộng sự (2025), Cohen d = 0,93 đến 1,07 của Bress và cộng sự (2024). Các con số này được sử dụng để so sánh tương đối giữa các kênh can thiệp và giữa các phân nhóm trong cùng một kênh (ví dụ can thiệp số có hướng dẫn so với không hướng dẫn).</w:t>
      </w:r>
    </w:p>
    <w:p>
      <w:pPr>
        <w:ind w:firstLine="567"/>
        <w:jc w:val="both"/>
      </w:pPr>
      <w:r>
        <w:rPr>
          <w:rFonts w:ascii="Times New Roman" w:hAnsi="Times New Roman"/>
          <w:sz w:val="26"/>
        </w:rPr>
        <w:t>Tổng hợp định tính được thực hiện theo phương pháp narrative synthesis: nhóm tác giả sắp xếp các nghiên cứu theo ba kênh, trong mỗi kênh phân theo nhóm dân số mục tiêu (vị thành niên đầu, vị thành niên giữa/cuối) và theo dạng rối loạn (lo âu tổng quát, lo âu xã hội, lo âu chia ly). Các phát hiện chung được tổng hợp theo bốn trục: hiệu quả, tính khả thi, độ tuân thủ và độ bền vững.</w:t>
      </w:r>
    </w:p>
    <w:p>
      <w:pPr>
        <w:pStyle w:val="Heading2"/>
      </w:pPr>
      <w:r>
        <w:rPr>
          <w:rFonts w:ascii="Times New Roman" w:hAnsi="Times New Roman"/>
          <w:color w:val="000000"/>
        </w:rPr>
        <w:t>3.6. Hạn chế của thiết kế tổng quan tự sự</w:t>
      </w:r>
    </w:p>
    <w:p>
      <w:pPr>
        <w:ind w:firstLine="567"/>
        <w:jc w:val="both"/>
      </w:pPr>
      <w:r>
        <w:rPr>
          <w:rFonts w:ascii="Times New Roman" w:hAnsi="Times New Roman"/>
          <w:sz w:val="26"/>
        </w:rPr>
        <w:t>Thiết kế tổng quan tự sự có ba hạn chế cần ghi nhận. Thứ nhất, không kiểm soát được hoàn toàn rủi ro chọn lọc thiên kiến trong khâu chọn tài liệu — mặc dù đã áp dụng tiêu chí rõ ràng, việc không thực hiện hai khâu sàng lọc độc lập có thể dẫn tới sai lệch nhỏ. Thứ hai, không cung cấp được ước tính hiệu ứng tổng hợp định lượng cho riêng bối cảnh Việt Nam do số lượng nghiên cứu trong nước quá ít. Thứ ba, các phân tích so sánh chéo giữa các kênh can thiệp mang tính định tính và cần được xác nhận lại qua các thử nghiệm so sánh trực tiếp trong tương lai. Các hạn chế này được xem xét khi rút ra các kết luận và khuyến nghị ở mục Bàn luận.</w:t>
      </w:r>
    </w:p>
    <w:p>
      <w:pPr>
        <w:pStyle w:val="Heading1"/>
      </w:pPr>
      <w:r>
        <w:rPr>
          <w:rFonts w:ascii="Times New Roman" w:hAnsi="Times New Roman"/>
          <w:color w:val="000000"/>
        </w:rPr>
        <w:t>4. Kết quả nghiên cứu</w:t>
      </w:r>
    </w:p>
    <w:p>
      <w:pPr>
        <w:pStyle w:val="Heading2"/>
      </w:pPr>
      <w:r>
        <w:rPr>
          <w:rFonts w:ascii="Times New Roman" w:hAnsi="Times New Roman"/>
          <w:color w:val="000000"/>
        </w:rPr>
        <w:t>4.1. CBT đã được xác nhận hiệu quả qua thử nghiệm lâm sàng</w:t>
      </w:r>
    </w:p>
    <w:p>
      <w:pPr>
        <w:ind w:firstLine="567"/>
        <w:jc w:val="both"/>
      </w:pPr>
      <w:r>
        <w:rPr>
          <w:rFonts w:ascii="Times New Roman" w:hAnsi="Times New Roman"/>
          <w:sz w:val="26"/>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pPr>
        <w:ind w:firstLine="567"/>
        <w:jc w:val="both"/>
      </w:pPr>
      <w:r>
        <w:rPr>
          <w:rFonts w:ascii="Times New Roman" w:hAnsi="Times New Roman"/>
          <w:sz w:val="26"/>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pPr>
        <w:ind w:firstLine="567"/>
        <w:jc w:val="both"/>
      </w:pPr>
      <w:r>
        <w:rPr>
          <w:rFonts w:ascii="Times New Roman" w:hAnsi="Times New Roman"/>
          <w:sz w:val="26"/>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pPr>
        <w:ind w:firstLine="567"/>
        <w:jc w:val="both"/>
      </w:pPr>
      <w:r>
        <w:rPr>
          <w:rFonts w:ascii="Times New Roman" w:hAnsi="Times New Roman"/>
          <w:sz w:val="26"/>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pPr>
        <w:ind w:firstLine="567"/>
        <w:jc w:val="both"/>
      </w:pPr>
      <w:r>
        <w:rPr>
          <w:rFonts w:ascii="Times New Roman" w:hAnsi="Times New Roman"/>
          <w:sz w:val="26"/>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pPr>
        <w:ind w:firstLine="567"/>
        <w:jc w:val="both"/>
      </w:pPr>
      <w:r>
        <w:rPr>
          <w:rFonts w:ascii="Times New Roman" w:hAnsi="Times New Roman"/>
          <w:sz w:val="26"/>
        </w:rPr>
        <w:t>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một thành phần hành vi của CBT —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pPr>
        <w:ind w:firstLine="567"/>
        <w:jc w:val="both"/>
      </w:pPr>
      <w:r>
        <w:rPr>
          <w:rFonts w:ascii="Times New Roman" w:hAnsi="Times New Roman"/>
          <w:sz w:val="26"/>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pPr>
        <w:ind w:firstLine="567"/>
        <w:jc w:val="both"/>
      </w:pPr>
      <w:r>
        <w:rPr>
          <w:rFonts w:ascii="Times New Roman" w:hAnsi="Times New Roman"/>
          <w:sz w:val="26"/>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pPr>
        <w:pStyle w:val="Heading2"/>
      </w:pPr>
      <w:r>
        <w:rPr>
          <w:rFonts w:ascii="Times New Roman" w:hAnsi="Times New Roman"/>
          <w:color w:val="000000"/>
        </w:rPr>
        <w:t>4.2. CBT triển khai tại trường học</w:t>
      </w:r>
    </w:p>
    <w:p>
      <w:pPr>
        <w:ind w:firstLine="567"/>
        <w:jc w:val="both"/>
      </w:pPr>
      <w:r>
        <w:rPr>
          <w:rFonts w:ascii="Times New Roman" w:hAnsi="Times New Roman"/>
          <w:sz w:val="26"/>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pPr>
        <w:ind w:firstLine="567"/>
        <w:jc w:val="both"/>
      </w:pPr>
      <w:r>
        <w:rPr>
          <w:rFonts w:ascii="Times New Roman" w:hAnsi="Times New Roman"/>
          <w:sz w:val="26"/>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pPr>
        <w:ind w:firstLine="567"/>
        <w:jc w:val="both"/>
      </w:pPr>
      <w:r>
        <w:rPr>
          <w:rFonts w:ascii="Times New Roman" w:hAnsi="Times New Roman"/>
          <w:sz w:val="26"/>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pPr>
        <w:ind w:firstLine="567"/>
        <w:jc w:val="both"/>
      </w:pPr>
      <w:r>
        <w:rPr>
          <w:rFonts w:ascii="Times New Roman" w:hAnsi="Times New Roman"/>
          <w:sz w:val="26"/>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567"/>
        <w:jc w:val="both"/>
      </w:pPr>
      <w:r>
        <w:rPr>
          <w:rFonts w:ascii="Times New Roman" w:hAnsi="Times New Roman"/>
          <w:sz w:val="26"/>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pPr>
        <w:ind w:firstLine="567"/>
        <w:jc w:val="both"/>
      </w:pPr>
      <w:r>
        <w:rPr>
          <w:rFonts w:ascii="Times New Roman" w:hAnsi="Times New Roman"/>
          <w:sz w:val="26"/>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pPr>
        <w:ind w:firstLine="567"/>
        <w:jc w:val="both"/>
      </w:pPr>
      <w:r>
        <w:rPr>
          <w:rFonts w:ascii="Times New Roman" w:hAnsi="Times New Roman"/>
          <w:sz w:val="26"/>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pPr>
        <w:ind w:firstLine="567"/>
        <w:jc w:val="both"/>
      </w:pPr>
      <w:r>
        <w:rPr>
          <w:rFonts w:ascii="Times New Roman" w:hAnsi="Times New Roman"/>
          <w:sz w:val="26"/>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pPr>
        <w:ind w:firstLine="567"/>
        <w:jc w:val="both"/>
      </w:pPr>
      <w:r>
        <w:rPr>
          <w:rFonts w:ascii="Times New Roman" w:hAnsi="Times New Roman"/>
          <w:sz w:val="26"/>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pPr>
        <w:pStyle w:val="Heading2"/>
      </w:pPr>
      <w:r>
        <w:rPr>
          <w:rFonts w:ascii="Times New Roman" w:hAnsi="Times New Roman"/>
          <w:color w:val="000000"/>
        </w:rPr>
        <w:t>4.3. CBT qua nền tảng số</w:t>
      </w:r>
    </w:p>
    <w:p>
      <w:pPr>
        <w:ind w:firstLine="567"/>
        <w:jc w:val="both"/>
      </w:pPr>
      <w:r>
        <w:rPr>
          <w:rFonts w:ascii="Times New Roman" w:hAnsi="Times New Roman"/>
          <w:sz w:val="26"/>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pPr>
        <w:ind w:firstLine="567"/>
        <w:jc w:val="both"/>
      </w:pPr>
      <w:r>
        <w:rPr>
          <w:rFonts w:ascii="Times New Roman" w:hAnsi="Times New Roman"/>
          <w:sz w:val="26"/>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pPr>
        <w:ind w:firstLine="567"/>
        <w:jc w:val="both"/>
      </w:pPr>
      <w:r>
        <w:rPr>
          <w:rFonts w:ascii="Times New Roman" w:hAnsi="Times New Roman"/>
          <w:sz w:val="26"/>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pPr>
        <w:ind w:firstLine="567"/>
        <w:jc w:val="both"/>
      </w:pPr>
      <w:r>
        <w:rPr>
          <w:rFonts w:ascii="Times New Roman" w:hAnsi="Times New Roman"/>
          <w:sz w:val="26"/>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pPr>
        <w:ind w:firstLine="567"/>
        <w:jc w:val="both"/>
      </w:pPr>
      <w:r>
        <w:rPr>
          <w:rFonts w:ascii="Times New Roman" w:hAnsi="Times New Roman"/>
          <w:sz w:val="26"/>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pPr>
        <w:ind w:firstLine="567"/>
        <w:jc w:val="both"/>
      </w:pPr>
      <w:r>
        <w:rPr>
          <w:rFonts w:ascii="Times New Roman" w:hAnsi="Times New Roman"/>
          <w:sz w:val="26"/>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pPr>
        <w:ind w:firstLine="567"/>
        <w:jc w:val="both"/>
      </w:pPr>
      <w:r>
        <w:rPr>
          <w:rFonts w:ascii="Times New Roman" w:hAnsi="Times New Roman"/>
          <w:sz w:val="26"/>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pPr>
        <w:ind w:firstLine="567"/>
        <w:jc w:val="both"/>
      </w:pPr>
      <w:r>
        <w:rPr>
          <w:rFonts w:ascii="Times New Roman" w:hAnsi="Times New Roman"/>
          <w:sz w:val="26"/>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pPr>
        <w:ind w:firstLine="567"/>
        <w:jc w:val="both"/>
      </w:pPr>
      <w:r>
        <w:rPr>
          <w:rFonts w:ascii="Times New Roman" w:hAnsi="Times New Roman"/>
          <w:sz w:val="26"/>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pPr>
        <w:ind w:firstLine="567"/>
        <w:jc w:val="both"/>
      </w:pPr>
      <w:r>
        <w:rPr>
          <w:rFonts w:ascii="Times New Roman" w:hAnsi="Times New Roman"/>
          <w:sz w:val="26"/>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 phát hiện này không mâu thuẫn —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pPr>
        <w:pStyle w:val="Heading2"/>
      </w:pPr>
      <w:r>
        <w:rPr>
          <w:rFonts w:ascii="Times New Roman" w:hAnsi="Times New Roman"/>
          <w:color w:val="000000"/>
        </w:rPr>
        <w:t>4.4. Mô hình kết hợp và chăm sóc theo bậc (stepped care)</w:t>
      </w:r>
    </w:p>
    <w:p>
      <w:pPr>
        <w:ind w:firstLine="567"/>
        <w:jc w:val="both"/>
      </w:pPr>
      <w:r>
        <w:rPr>
          <w:rFonts w:ascii="Times New Roman" w:hAnsi="Times New Roman"/>
          <w:sz w:val="26"/>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pPr>
        <w:ind w:firstLine="567"/>
        <w:jc w:val="both"/>
      </w:pPr>
      <w:r>
        <w:rPr>
          <w:rFonts w:ascii="Times New Roman" w:hAnsi="Times New Roman"/>
          <w:sz w:val="26"/>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pPr>
        <w:ind w:firstLine="567"/>
        <w:jc w:val="both"/>
      </w:pPr>
      <w:r>
        <w:rPr>
          <w:rFonts w:ascii="Times New Roman" w:hAnsi="Times New Roman"/>
          <w:sz w:val="26"/>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pPr>
        <w:ind w:firstLine="567"/>
        <w:jc w:val="both"/>
      </w:pPr>
      <w:r>
        <w:rPr>
          <w:rFonts w:ascii="Times New Roman" w:hAnsi="Times New Roman"/>
          <w:sz w:val="26"/>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pPr>
        <w:jc w:val="center"/>
      </w:pPr>
      <w:r>
        <w:rPr>
          <w:rFonts w:ascii="Times New Roman" w:hAnsi="Times New Roman"/>
          <w:i/>
          <w:sz w:val="22"/>
        </w:rPr>
        <w:t>Bảng 2. So sánh ba kênh can thiệp CBT cho HSTHCS</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Kênh lâm sàng</w:t>
            </w:r>
          </w:p>
        </w:tc>
        <w:tc>
          <w:tcPr>
            <w:tcW w:w="2268" w:type="dxa"/>
            <w:shd w:fill="D9E2F3" w:val="clear"/>
          </w:tcPr>
          <w:p>
            <w:pPr>
              <w:jc w:val="center"/>
            </w:pPr>
            <w:r>
              <w:rPr>
                <w:rFonts w:ascii="Times New Roman" w:hAnsi="Times New Roman"/>
                <w:b/>
                <w:sz w:val="20"/>
              </w:rPr>
              <w:t>Kênh trường học</w:t>
            </w:r>
          </w:p>
        </w:tc>
        <w:tc>
          <w:tcPr>
            <w:tcW w:w="2268" w:type="dxa"/>
            <w:shd w:fill="D9E2F3" w:val="clear"/>
          </w:tcPr>
          <w:p>
            <w:pPr>
              <w:jc w:val="center"/>
            </w:pPr>
            <w:r>
              <w:rPr>
                <w:rFonts w:ascii="Times New Roman" w:hAnsi="Times New Roman"/>
                <w:b/>
                <w:sz w:val="20"/>
              </w:rPr>
              <w:t>Kênh số</w:t>
            </w:r>
          </w:p>
        </w:tc>
      </w:tr>
      <w:tr>
        <w:tc>
          <w:tcPr>
            <w:tcW w:w="1984" w:type="dxa"/>
          </w:tcPr>
          <w:p>
            <w:pPr>
              <w:jc w:val="both"/>
            </w:pPr>
            <w:r>
              <w:rPr>
                <w:rFonts w:ascii="Times New Roman" w:hAnsi="Times New Roman"/>
                <w:sz w:val="20"/>
              </w:rPr>
              <w:t>Hiệu quả (cỡ effect tổng hợp)</w:t>
            </w:r>
          </w:p>
        </w:tc>
        <w:tc>
          <w:tcPr>
            <w:tcW w:w="2268" w:type="dxa"/>
          </w:tcPr>
          <w:p>
            <w:pPr>
              <w:jc w:val="both"/>
            </w:pPr>
            <w:r>
              <w:rPr>
                <w:rFonts w:ascii="Times New Roman" w:hAnsi="Times New Roman"/>
                <w:sz w:val="20"/>
              </w:rPr>
              <w:t>d = 0,80–1,07 (Bress 2024 spec.)</w:t>
            </w:r>
          </w:p>
        </w:tc>
        <w:tc>
          <w:tcPr>
            <w:tcW w:w="2268" w:type="dxa"/>
          </w:tcPr>
          <w:p>
            <w:pPr>
              <w:jc w:val="both"/>
            </w:pPr>
            <w:r>
              <w:rPr>
                <w:rFonts w:ascii="Times New Roman" w:hAnsi="Times New Roman"/>
                <w:sz w:val="20"/>
              </w:rPr>
              <w:t>SMD = 0,17–0,57 (Cai 2025)</w:t>
            </w:r>
          </w:p>
        </w:tc>
        <w:tc>
          <w:tcPr>
            <w:tcW w:w="2268" w:type="dxa"/>
          </w:tcPr>
          <w:p>
            <w:pPr>
              <w:jc w:val="both"/>
            </w:pPr>
            <w:r>
              <w:rPr>
                <w:rFonts w:ascii="Times New Roman" w:hAnsi="Times New Roman"/>
                <w:sz w:val="20"/>
              </w:rPr>
              <w:t>g = 0,27–0,83 (Walder 2025)</w:t>
            </w:r>
          </w:p>
        </w:tc>
      </w:tr>
      <w:tr>
        <w:tc>
          <w:tcPr>
            <w:tcW w:w="1984" w:type="dxa"/>
          </w:tcPr>
          <w:p>
            <w:pPr>
              <w:jc w:val="both"/>
            </w:pPr>
            <w:r>
              <w:rPr>
                <w:rFonts w:ascii="Times New Roman" w:hAnsi="Times New Roman"/>
                <w:sz w:val="20"/>
              </w:rPr>
              <w:t>Khả năng tiếp cận</w:t>
            </w:r>
          </w:p>
        </w:tc>
        <w:tc>
          <w:tcPr>
            <w:tcW w:w="2268" w:type="dxa"/>
          </w:tcPr>
          <w:p>
            <w:pPr>
              <w:jc w:val="both"/>
            </w:pPr>
            <w:r>
              <w:rPr>
                <w:rFonts w:ascii="Times New Roman" w:hAnsi="Times New Roman"/>
                <w:sz w:val="20"/>
              </w:rPr>
              <w:t>Thấp</w:t>
            </w:r>
          </w:p>
        </w:tc>
        <w:tc>
          <w:tcPr>
            <w:tcW w:w="2268" w:type="dxa"/>
          </w:tcPr>
          <w:p>
            <w:pPr>
              <w:jc w:val="both"/>
            </w:pPr>
            <w:r>
              <w:rPr>
                <w:rFonts w:ascii="Times New Roman" w:hAnsi="Times New Roman"/>
                <w:sz w:val="20"/>
              </w:rPr>
              <w:t>Cao</w:t>
            </w:r>
          </w:p>
        </w:tc>
        <w:tc>
          <w:tcPr>
            <w:tcW w:w="2268" w:type="dxa"/>
          </w:tcPr>
          <w:p>
            <w:pPr>
              <w:jc w:val="both"/>
            </w:pPr>
            <w:r>
              <w:rPr>
                <w:rFonts w:ascii="Times New Roman" w:hAnsi="Times New Roman"/>
                <w:sz w:val="20"/>
              </w:rPr>
              <w:t>Rất cao</w:t>
            </w:r>
          </w:p>
        </w:tc>
      </w:tr>
      <w:tr>
        <w:tc>
          <w:tcPr>
            <w:tcW w:w="1984" w:type="dxa"/>
          </w:tcPr>
          <w:p>
            <w:pPr>
              <w:jc w:val="both"/>
            </w:pPr>
            <w:r>
              <w:rPr>
                <w:rFonts w:ascii="Times New Roman" w:hAnsi="Times New Roman"/>
                <w:sz w:val="20"/>
              </w:rPr>
              <w:t>Chi phí cho mỗi học sinh</w:t>
            </w:r>
          </w:p>
        </w:tc>
        <w:tc>
          <w:tcPr>
            <w:tcW w:w="2268" w:type="dxa"/>
          </w:tcPr>
          <w:p>
            <w:pPr>
              <w:jc w:val="both"/>
            </w:pPr>
            <w:r>
              <w:rPr>
                <w:rFonts w:ascii="Times New Roman" w:hAnsi="Times New Roman"/>
                <w:sz w:val="20"/>
              </w:rPr>
              <w:t>Cao</w:t>
            </w:r>
          </w:p>
        </w:tc>
        <w:tc>
          <w:tcPr>
            <w:tcW w:w="2268" w:type="dxa"/>
          </w:tcPr>
          <w:p>
            <w:pPr>
              <w:jc w:val="both"/>
            </w:pPr>
            <w:r>
              <w:rPr>
                <w:rFonts w:ascii="Times New Roman" w:hAnsi="Times New Roman"/>
                <w:sz w:val="20"/>
              </w:rPr>
              <w:t>Thấp</w:t>
            </w:r>
          </w:p>
        </w:tc>
        <w:tc>
          <w:tcPr>
            <w:tcW w:w="2268" w:type="dxa"/>
          </w:tcPr>
          <w:p>
            <w:pPr>
              <w:jc w:val="both"/>
            </w:pPr>
            <w:r>
              <w:rPr>
                <w:rFonts w:ascii="Times New Roman" w:hAnsi="Times New Roman"/>
                <w:sz w:val="20"/>
              </w:rPr>
              <w:t>Rất thấp</w:t>
            </w:r>
          </w:p>
        </w:tc>
      </w:tr>
      <w:tr>
        <w:tc>
          <w:tcPr>
            <w:tcW w:w="1984" w:type="dxa"/>
          </w:tcPr>
          <w:p>
            <w:pPr>
              <w:jc w:val="both"/>
            </w:pPr>
            <w:r>
              <w:rPr>
                <w:rFonts w:ascii="Times New Roman" w:hAnsi="Times New Roman"/>
                <w:sz w:val="20"/>
              </w:rPr>
              <w:t>Yêu cầu nhân lực chuyên môn</w:t>
            </w:r>
          </w:p>
        </w:tc>
        <w:tc>
          <w:tcPr>
            <w:tcW w:w="2268" w:type="dxa"/>
          </w:tcPr>
          <w:p>
            <w:pPr>
              <w:jc w:val="both"/>
            </w:pPr>
            <w:r>
              <w:rPr>
                <w:rFonts w:ascii="Times New Roman" w:hAnsi="Times New Roman"/>
                <w:sz w:val="20"/>
              </w:rPr>
              <w:t>Rất cao</w:t>
            </w:r>
          </w:p>
        </w:tc>
        <w:tc>
          <w:tcPr>
            <w:tcW w:w="2268" w:type="dxa"/>
          </w:tcPr>
          <w:p>
            <w:pPr>
              <w:jc w:val="both"/>
            </w:pPr>
            <w:r>
              <w:rPr>
                <w:rFonts w:ascii="Times New Roman" w:hAnsi="Times New Roman"/>
                <w:sz w:val="20"/>
              </w:rPr>
              <w:t>Vừa</w:t>
            </w:r>
          </w:p>
        </w:tc>
        <w:tc>
          <w:tcPr>
            <w:tcW w:w="2268" w:type="dxa"/>
          </w:tcPr>
          <w:p>
            <w:pPr>
              <w:jc w:val="both"/>
            </w:pPr>
            <w:r>
              <w:rPr>
                <w:rFonts w:ascii="Times New Roman" w:hAnsi="Times New Roman"/>
                <w:sz w:val="20"/>
              </w:rPr>
              <w:t>Thấp (nếu tự hướng dẫn)</w:t>
            </w:r>
          </w:p>
        </w:tc>
      </w:tr>
      <w:tr>
        <w:tc>
          <w:tcPr>
            <w:tcW w:w="1984" w:type="dxa"/>
          </w:tcPr>
          <w:p>
            <w:pPr>
              <w:jc w:val="both"/>
            </w:pPr>
            <w:r>
              <w:rPr>
                <w:rFonts w:ascii="Times New Roman" w:hAnsi="Times New Roman"/>
                <w:sz w:val="20"/>
              </w:rPr>
              <w:t>Độ tuân thủ</w:t>
            </w:r>
          </w:p>
        </w:tc>
        <w:tc>
          <w:tcPr>
            <w:tcW w:w="2268" w:type="dxa"/>
          </w:tcPr>
          <w:p>
            <w:pPr>
              <w:jc w:val="both"/>
            </w:pPr>
            <w:r>
              <w:rPr>
                <w:rFonts w:ascii="Times New Roman" w:hAnsi="Times New Roman"/>
                <w:sz w:val="20"/>
              </w:rPr>
              <w:t>Cao (~80%)</w:t>
            </w:r>
          </w:p>
        </w:tc>
        <w:tc>
          <w:tcPr>
            <w:tcW w:w="2268" w:type="dxa"/>
          </w:tcPr>
          <w:p>
            <w:pPr>
              <w:jc w:val="both"/>
            </w:pPr>
            <w:r>
              <w:rPr>
                <w:rFonts w:ascii="Times New Roman" w:hAnsi="Times New Roman"/>
                <w:sz w:val="20"/>
              </w:rPr>
              <w:t>Vừa (~60–70%)</w:t>
            </w:r>
          </w:p>
        </w:tc>
        <w:tc>
          <w:tcPr>
            <w:tcW w:w="2268" w:type="dxa"/>
          </w:tcPr>
          <w:p>
            <w:pPr>
              <w:jc w:val="both"/>
            </w:pPr>
            <w:r>
              <w:rPr>
                <w:rFonts w:ascii="Times New Roman" w:hAnsi="Times New Roman"/>
                <w:sz w:val="20"/>
              </w:rPr>
              <w:t>Thấp (~40–60%)</w:t>
            </w:r>
          </w:p>
        </w:tc>
      </w:tr>
      <w:tr>
        <w:tc>
          <w:tcPr>
            <w:tcW w:w="1984" w:type="dxa"/>
          </w:tcPr>
          <w:p>
            <w:pPr>
              <w:jc w:val="both"/>
            </w:pPr>
            <w:r>
              <w:rPr>
                <w:rFonts w:ascii="Times New Roman" w:hAnsi="Times New Roman"/>
                <w:sz w:val="20"/>
              </w:rPr>
              <w:t>Phù hợp tầng can thiệp</w:t>
            </w:r>
          </w:p>
        </w:tc>
        <w:tc>
          <w:tcPr>
            <w:tcW w:w="2268" w:type="dxa"/>
          </w:tcPr>
          <w:p>
            <w:pPr>
              <w:jc w:val="both"/>
            </w:pPr>
            <w:r>
              <w:rPr>
                <w:rFonts w:ascii="Times New Roman" w:hAnsi="Times New Roman"/>
                <w:sz w:val="20"/>
              </w:rPr>
              <w:t>Chỉ định, lâm sàng</w:t>
            </w:r>
          </w:p>
        </w:tc>
        <w:tc>
          <w:tcPr>
            <w:tcW w:w="2268" w:type="dxa"/>
          </w:tcPr>
          <w:p>
            <w:pPr>
              <w:jc w:val="both"/>
            </w:pPr>
            <w:r>
              <w:rPr>
                <w:rFonts w:ascii="Times New Roman" w:hAnsi="Times New Roman"/>
                <w:sz w:val="20"/>
              </w:rPr>
              <w:t>Phổ quát, chọn lọc, chỉ định nhẹ</w:t>
            </w:r>
          </w:p>
        </w:tc>
        <w:tc>
          <w:tcPr>
            <w:tcW w:w="2268" w:type="dxa"/>
          </w:tcPr>
          <w:p>
            <w:pPr>
              <w:jc w:val="both"/>
            </w:pPr>
            <w:r>
              <w:rPr>
                <w:rFonts w:ascii="Times New Roman" w:hAnsi="Times New Roman"/>
                <w:sz w:val="20"/>
              </w:rPr>
              <w:t>Phổ quát, chọn lọc</w:t>
            </w:r>
          </w:p>
        </w:tc>
      </w:tr>
    </w:tbl>
    <w:p>
      <w:pPr>
        <w:pStyle w:val="Heading1"/>
      </w:pPr>
      <w:r>
        <w:rPr>
          <w:rFonts w:ascii="Times New Roman" w:hAnsi="Times New Roman"/>
          <w:color w:val="000000"/>
        </w:rPr>
        <w:t>5. Bàn luận</w:t>
      </w:r>
    </w:p>
    <w:p>
      <w:pPr>
        <w:pStyle w:val="Heading2"/>
      </w:pPr>
      <w:r>
        <w:rPr>
          <w:rFonts w:ascii="Times New Roman" w:hAnsi="Times New Roman"/>
          <w:color w:val="000000"/>
        </w:rPr>
        <w:t>5.1. Tổng hợp ba nhóm can thiệp</w:t>
      </w:r>
    </w:p>
    <w:p>
      <w:pPr>
        <w:ind w:firstLine="567"/>
        <w:jc w:val="both"/>
      </w:pPr>
      <w:r>
        <w:rPr>
          <w:rFonts w:ascii="Times New Roman" w:hAnsi="Times New Roman"/>
          <w:sz w:val="26"/>
        </w:rPr>
        <w:t>Tổng hợp các bằng chứng đã trình bày, ba nhóm can thiệp CBT cho rối loạn lo âu ở HSTHCS hiện có nền tảng bằng chứng quốc tế khá vững. CBT lâm sàng có cỡ hiệu ứng lớn nhất nhưng khả năng tiếp cận thấp. CBT trường học có cỡ hiệu ứng tổng hợp nhỏ tới vừa nhưng phù hợp với mô hình can thiệp phổ quát và chọn lọc. CBT số có cỡ hiệu ứng vừa và đang phát triển nhanh, đặc biệt khi kết hợp một mức độ hỗ trợ chuyên môn tối thiểu. Tại Việt Nam, hầu hết các báo cáo còn ở dạng thử nghiệm pilot quy mô nhỏ hoặc nghiên cứu lý luận chưa được củng cố bằng dữ liệu thực nghiệm đối chứng; đây là khoảng cách lớn so với các nước có hệ thống chăm sóc sức khỏe tâm thần phát triển.</w:t>
      </w:r>
    </w:p>
    <w:p>
      <w:pPr>
        <w:ind w:firstLine="567"/>
        <w:jc w:val="both"/>
      </w:pPr>
      <w:r>
        <w:rPr>
          <w:rFonts w:ascii="Times New Roman" w:hAnsi="Times New Roman"/>
          <w:sz w:val="26"/>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khuyết tật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pPr>
        <w:ind w:firstLine="567"/>
        <w:jc w:val="both"/>
      </w:pPr>
      <w:r>
        <w:rPr>
          <w:rFonts w:ascii="Times New Roman" w:hAnsi="Times New Roman"/>
          <w:sz w:val="26"/>
        </w:rPr>
        <w:t>Một điểm chung quan trọng giữa ba nhóm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 hỗ trợ chuyên gia hay không) và mức độ tương tác — chứ không phải từ thành phần lý thuyết. Phát hiện này quan trọng cho thiết kế tại Việt Nam: việc bản địa hóa nội dung văn hóa và ngôn ngữ phải đi đôi với việc duy trì các thành phần cốt lõi để bảo đảm hiệu quả lâm sàng.</w:t>
      </w:r>
    </w:p>
    <w:p>
      <w:pPr>
        <w:pStyle w:val="Heading2"/>
      </w:pPr>
      <w:r>
        <w:rPr>
          <w:rFonts w:ascii="Times New Roman" w:hAnsi="Times New Roman"/>
          <w:color w:val="000000"/>
        </w:rPr>
        <w:t>5.2. Năm khoảng trống chính trong nghiên cứu can thiệp tại Việt Nam</w:t>
      </w:r>
    </w:p>
    <w:p>
      <w:pPr>
        <w:ind w:firstLine="567"/>
        <w:jc w:val="both"/>
      </w:pPr>
      <w:r>
        <w:rPr>
          <w:rFonts w:ascii="Times New Roman" w:hAnsi="Times New Roman"/>
          <w:sz w:val="26"/>
        </w:rPr>
        <w:t>Trên cơ sở khung phân tích ba kênh × ba tầng, có thể nhận diện năm khoảng trống chính trong nghiên cứu can thiệp cho HSTHCS Việt Nam.</w:t>
      </w:r>
    </w:p>
    <w:p>
      <w:pPr>
        <w:ind w:firstLine="567"/>
        <w:jc w:val="both"/>
      </w:pPr>
      <w:r>
        <w:rPr>
          <w:rFonts w:ascii="Times New Roman" w:hAnsi="Times New Roman"/>
          <w:sz w:val="26"/>
        </w:rPr>
        <w:t>Thứ nhất, thiếu thử nghiệm lâm sàng ngẫu nhiên đa trung tâm trên mẫu HSTHCS —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pPr>
        <w:ind w:firstLine="567"/>
        <w:jc w:val="both"/>
      </w:pPr>
      <w:r>
        <w:rPr>
          <w:rFonts w:ascii="Times New Roman" w:hAnsi="Times New Roman"/>
          <w:sz w:val="26"/>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pPr>
        <w:ind w:firstLine="567"/>
        <w:jc w:val="both"/>
      </w:pPr>
      <w:r>
        <w:rPr>
          <w:rFonts w:ascii="Times New Roman" w:hAnsi="Times New Roman"/>
          <w:sz w:val="26"/>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pPr>
        <w:ind w:firstLine="567"/>
        <w:jc w:val="both"/>
      </w:pPr>
      <w:r>
        <w:rPr>
          <w:rFonts w:ascii="Times New Roman" w:hAnsi="Times New Roman"/>
          <w:sz w:val="26"/>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pPr>
        <w:ind w:firstLine="567"/>
        <w:jc w:val="both"/>
      </w:pPr>
      <w:r>
        <w:rPr>
          <w:rFonts w:ascii="Times New Roman" w:hAnsi="Times New Roman"/>
          <w:sz w:val="26"/>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pPr>
        <w:pStyle w:val="Heading2"/>
      </w:pPr>
      <w:r>
        <w:rPr>
          <w:rFonts w:ascii="Times New Roman" w:hAnsi="Times New Roman"/>
          <w:color w:val="000000"/>
        </w:rPr>
        <w:t>5.3. Khác biệt vùng miền và yếu tố giới tính trong can thiệp</w:t>
      </w:r>
    </w:p>
    <w:p>
      <w:pPr>
        <w:ind w:firstLine="567"/>
        <w:jc w:val="both"/>
      </w:pPr>
      <w:r>
        <w:rPr>
          <w:rFonts w:ascii="Times New Roman" w:hAnsi="Times New Roman"/>
          <w:sz w:val="26"/>
        </w:rPr>
        <w:t>Sự khác biệt vùng miền là một yếu tố cấu trúc cần lưu ý khi triển khai can thiệp tại Việt Nam.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pPr>
        <w:ind w:firstLine="567"/>
        <w:jc w:val="both"/>
      </w:pPr>
      <w:r>
        <w:rPr>
          <w:rFonts w:ascii="Times New Roman" w:hAnsi="Times New Roman"/>
          <w:sz w:val="26"/>
        </w:rPr>
        <w:t>Cũng cần lưu ý sự khác biệt giữa các vùng miền không chỉ về kinh tế – cơ sở hạ tầng mà còn về mẫu hình áp lực mà học sinh phải đối mặt. Học sinh khu vực đô thị thường chịu áp lực học tập từ kỳ vọng cao của gia đình, áp lực thành tích để vào trường chất lượng cao; trong khi học sinh khu vực nông thôn có thể chịu các áp lực khác như cha mẹ đi làm xa, thiếu hỗ trợ tâm lý từ gia đình, tiếp xúc thiếu cấu trúc với internet và mạng xã hội. Hai mẫu hình áp lực này dẫn tới các biểu hiện lo âu khác nhau, đòi hỏi các phiên bản giao thức can thiệp được điều chỉnh phù hợp. Một thiết kế nghiên cứu can thiệp có giá trị cao là so sánh hiệu quả của cùng một giao thức CBT khi triển khai trên hai nhóm dân số đối lập này, qua đó định lượng được mức độ bản địa hóa cần thiết.</w:t>
      </w:r>
    </w:p>
    <w:p>
      <w:pPr>
        <w:ind w:firstLine="567"/>
        <w:jc w:val="both"/>
      </w:pPr>
      <w:r>
        <w:rPr>
          <w:rFonts w:ascii="Times New Roman" w:hAnsi="Times New Roman"/>
          <w:sz w:val="26"/>
        </w:rPr>
        <w:t>Về yếu tố giới tính, các nghiên cứu quốc tế nhất quán cho thấy nữ giới có tỷ lệ rối loạn lo âu cao hơn nam giới khoảng 1,5–2 lần ở lứa tuổi vị thành niên, đồng thời nữ cũng có xu hướng đáp ứng tốt hơn với can thiệp CBT nói chung. Bradshaw và cộng sự (2025) đã ghi nhận sự khác biệt theo giới trong đáp ứng can thiệp Coping Power, với học sinh nữ cải thiện rõ rệt hơn ở một số kết cục. Tại Việt Nam, dữ liệu phân tích theo giới còn rất hạn chế; các thiết kế nghiên cứu tương lai cần tích hợp phân tích phân nhóm theo giới ngay từ giai đoạn lập kế hoạch.</w:t>
      </w:r>
    </w:p>
    <w:p>
      <w:pPr>
        <w:pStyle w:val="Heading2"/>
      </w:pPr>
      <w:r>
        <w:rPr>
          <w:rFonts w:ascii="Times New Roman" w:hAnsi="Times New Roman"/>
          <w:color w:val="000000"/>
        </w:rPr>
        <w:t>5.4. Khoảng trống về thiết kế nghiên cứu can thiệp</w:t>
      </w:r>
    </w:p>
    <w:p>
      <w:pPr>
        <w:ind w:firstLine="567"/>
        <w:jc w:val="both"/>
      </w:pPr>
      <w:r>
        <w:rPr>
          <w:rFonts w:ascii="Times New Roman" w:hAnsi="Times New Roman"/>
          <w:sz w:val="26"/>
        </w:rPr>
        <w:t>Đa số các nghiên cứu can thiệp tại Việt Nam đang sử dụng thiết kế trước-sau (pre-post) một nhóm hoặc thiết kế tựa thực nghiệm với nhóm chứng không phân ngẫu nhiên. Các thiết kế này không cho phép quy kết nhân quả chắc chắn cho hiệu ứng quan sát được, do không loại trừ được các yếu tố nhiễu như sự cải thiện tự nhiên theo thời gian, hiệu ứng kỳ vọng và hiệu ứng đo lường lặp lại. Để nâng cao chất lượng bằng chứng, các thiết kế nghiên cứu tương lai cần áp dụng: (i) phân nhóm ngẫu nhiên (random allocation); (ii) đối chứng tích cực thay vì chỉ đối chứng đợi; (iii) phép đo mù (blind assessment) khi đánh giá kết cục; (iv) đăng ký trước thiết kế nghiên cứu trên các nền tảng như ClinicalTrials.gov hoặc Open Science Framework để tăng tính minh bạch.</w:t>
      </w:r>
    </w:p>
    <w:p>
      <w:pPr>
        <w:ind w:firstLine="567"/>
        <w:jc w:val="both"/>
      </w:pPr>
      <w:r>
        <w:rPr>
          <w:rFonts w:ascii="Times New Roman" w:hAnsi="Times New Roman"/>
          <w:sz w:val="26"/>
        </w:rPr>
        <w:t>Thiết kế thử nghiệm lâm sàng ngẫu nhiên cụm (cluster RCT) – như mô hình Bradshaw và cộng sự (2025) – đặc biệt phù hợp cho can thiệp tại trường, vì việc phân ngẫu nhiên ở cấp trường tránh được hiệu ứng lây lan giữa các học sinh cùng lớp. Đây là thiết kế nên được ưu tiên cho các thử nghiệm CBT trường học tại Việt Nam trong tương lai.</w:t>
      </w:r>
    </w:p>
    <w:p>
      <w:pPr>
        <w:pStyle w:val="Heading2"/>
      </w:pPr>
      <w:r>
        <w:rPr>
          <w:rFonts w:ascii="Times New Roman" w:hAnsi="Times New Roman"/>
          <w:color w:val="000000"/>
        </w:rPr>
        <w:t>5.5. Khoảng trống về đo lường hiệu quả và kết cục dài hạn</w:t>
      </w:r>
    </w:p>
    <w:p>
      <w:pPr>
        <w:ind w:firstLine="567"/>
        <w:jc w:val="both"/>
      </w:pPr>
      <w:r>
        <w:rPr>
          <w:rFonts w:ascii="Times New Roman" w:hAnsi="Times New Roman"/>
          <w:sz w:val="26"/>
        </w:rPr>
        <w:t>Bốn vấn đề về đo lường cần được giải quyết khi xây dựng các nghiên cứu can thiệp tại Việt Nam. Thứ nhất, lựa chọn công cụ đo lường: cần ưu tiên các thang đo đã được thẩm định tâm trắc đầy đủ ở Việt Nam (RCADS, SCARED, DASS-Y phiên bản tiếng Việt) thay vì các thang đo tự tạo chưa có dữ liệu độ tin cậy. Thứ hai, thời điểm đo lường: ngoài đo trước–sau can thiệp, cần thêm các thời điểm theo dõi 3 tháng, 6 tháng và 12 tháng để đánh giá độ bền vững. Thứ ba, đa nguồn đánh giá: kết hợp tự báo cáo của học sinh, đánh giá của cha mẹ và giáo viên để giảm thiên kiến tự báo cáo. Thứ tư, các kết cục thứ cấp: ngoài điểm thang đo, cần đo các kết cục có ý nghĩa thực tế như mức độ tham gia hoạt động xã hội, chất lượng giấc ngủ, kết quả học tập.</w:t>
      </w:r>
    </w:p>
    <w:p>
      <w:pPr>
        <w:ind w:firstLine="567"/>
        <w:jc w:val="both"/>
      </w:pPr>
      <w:r>
        <w:rPr>
          <w:rFonts w:ascii="Times New Roman" w:hAnsi="Times New Roman"/>
          <w:sz w:val="26"/>
        </w:rPr>
        <w:t>Đặc biệt, các nghiên cứu can thiệp số cần báo cáo các chỉ số tương tác (engagement metrics) như tỷ lệ hoàn thành chương trình, số ngày sử dụng trung bình, tỷ lệ học sinh hoàn thành bài tập về nhà — những chỉ số này quan trọng để hiểu cơ chế và để cải tiến nền tảng. Hiện nay rất ít nghiên cứu DMHI tại Việt Nam báo cáo các chỉ số này một cách hệ thống.</w:t>
      </w:r>
    </w:p>
    <w:p>
      <w:pPr>
        <w:pStyle w:val="Heading2"/>
      </w:pPr>
      <w:r>
        <w:rPr>
          <w:rFonts w:ascii="Times New Roman" w:hAnsi="Times New Roman"/>
          <w:color w:val="000000"/>
        </w:rPr>
        <w:t>5.6. Hàm ý chính sách và chuyển giao tri thức</w:t>
      </w:r>
    </w:p>
    <w:p>
      <w:pPr>
        <w:ind w:firstLine="567"/>
        <w:jc w:val="both"/>
      </w:pPr>
      <w:r>
        <w:rPr>
          <w:rFonts w:ascii="Times New Roman" w:hAnsi="Times New Roman"/>
          <w:sz w:val="26"/>
        </w:rPr>
        <w:t>Trên cơ sở các khoảng trống đã nhận diện, ba hàm ý chính sách nổi lên. Thứ nhất, cần một cơ chế tài trợ nghiên cứu can thiệp dài hạn — không chỉ tài trợ cho thử nghiệm đơn lẻ mà tài trợ cho cả mạng lưới nhiều thử nghiệm song song trên các vùng miền khác nhau. Cơ chế này có thể được tổ chức qua Quỹ Phát triển Khoa học và Công nghệ Quốc gia (NAFOSTED) hoặc qua các chương trình mục tiêu quốc gia về sức khỏe.</w:t>
      </w:r>
    </w:p>
    <w:p>
      <w:pPr>
        <w:ind w:firstLine="567"/>
        <w:jc w:val="both"/>
      </w:pPr>
      <w:r>
        <w:rPr>
          <w:rFonts w:ascii="Times New Roman" w:hAnsi="Times New Roman"/>
          <w:sz w:val="26"/>
        </w:rPr>
        <w:t>Thứ hai, cần một khung pháp lý rõ ràng cho việc tích hợp dịch vụ tâm lý vào hệ thống giáo dục. Thông tư 31/2017/TT-BGDĐT về tổ tư vấn tâm lý đã đặt nền tảng ban đầu, nhưng cần được bổ sung bằng các quy định chi tiết về (i) chuẩn năng lực của giáo viên tâm lý học đường; (ii) quy trình sàng lọc – chuyển tuyến giữa trường học và cơ sở y tế; (iii) cơ chế phối hợp với phụ huynh.</w:t>
      </w:r>
    </w:p>
    <w:p>
      <w:pPr>
        <w:ind w:firstLine="567"/>
        <w:jc w:val="both"/>
      </w:pPr>
      <w:r>
        <w:rPr>
          <w:rFonts w:ascii="Times New Roman" w:hAnsi="Times New Roman"/>
          <w:sz w:val="26"/>
        </w:rPr>
        <w:t>Thứ ba, cần một cơ chế chuyển giao tri thức từ nghiên cứu sang thực hành. Hiện nay, khoảng cách giữa các nghiên cứu được công bố và việc áp dụng chúng vào hệ thống dịch vụ rất lớn. Việc thiết lập các mạng lưới chuyển giao — bao gồm các diễn đàn chuyên môn định kỳ, các khóa tập huấn quy chuẩn, và các tài liệu hướng dẫn thực hành dựa trên bằng chứng — là điều kiện cần để nghiên cứu thực sự có tác động lên đời sống học sinh.</w:t>
      </w:r>
    </w:p>
    <w:p>
      <w:pPr>
        <w:pStyle w:val="Heading2"/>
      </w:pPr>
      <w:r>
        <w:rPr>
          <w:rFonts w:ascii="Times New Roman" w:hAnsi="Times New Roman"/>
          <w:color w:val="000000"/>
        </w:rPr>
        <w:t>5.7. Năm hướng nghiên cứu ưu tiên cho giai đoạn 2026–2030</w:t>
      </w:r>
    </w:p>
    <w:p>
      <w:pPr>
        <w:ind w:firstLine="567"/>
        <w:jc w:val="both"/>
      </w:pPr>
      <w:r>
        <w:rPr>
          <w:rFonts w:ascii="Times New Roman" w:hAnsi="Times New Roman"/>
          <w:sz w:val="26"/>
        </w:rPr>
        <w:t>Trên cơ sở các khoảng trống đã nhận diện, nhóm tác giả đề xuất năm hướng nghiên cứu ưu tiên cho giai đoạn 2026–2030.</w:t>
      </w:r>
    </w:p>
    <w:p>
      <w:pPr>
        <w:ind w:firstLine="567"/>
        <w:jc w:val="both"/>
      </w:pPr>
      <w:r>
        <w:rPr>
          <w:rFonts w:ascii="Times New Roman" w:hAnsi="Times New Roman"/>
          <w:sz w:val="26"/>
        </w:rPr>
        <w:t>Hướng thứ nhất, ưu tiên thiết kế và thực hiện một thử nghiệm lâm sàng ngẫu nhiên đa trung tâm trên mẫu HSTHCS Việt Nam với giao thức CBT đã được bản địa hóa. Thử nghiệm cần có cỡ mẫu đủ lớn (ước tính ≥ 800 học sinh phân chia ở 8–12 trường) để cho phép phân tích phân nhóm theo giới và theo vùng miền, kèm theo dõi tối thiểu 12 tháng sau can thiệp.</w:t>
      </w:r>
    </w:p>
    <w:p>
      <w:pPr>
        <w:ind w:firstLine="567"/>
        <w:jc w:val="both"/>
      </w:pPr>
      <w:r>
        <w:rPr>
          <w:rFonts w:ascii="Times New Roman" w:hAnsi="Times New Roman"/>
          <w:sz w:val="26"/>
        </w:rPr>
        <w:t>Hướng thứ hai, phát triển một chương trình CBT trường học 8–12 buổi tích hợp vào môn Hoạt động trải nghiệm – Hướng nghiệp, với tài liệu hướng dẫn dành cho giáo viên chủ nhiệm và giáo viên tâm lý học đường. Chương trình cần bao gồm cả phần tài liệu cho học sinh, sổ tay cho giáo viên, và bộ công cụ sàng lọc – đánh giá kết cục đi kèm.</w:t>
      </w:r>
    </w:p>
    <w:p>
      <w:pPr>
        <w:ind w:firstLine="567"/>
        <w:jc w:val="both"/>
      </w:pPr>
      <w:r>
        <w:rPr>
          <w:rFonts w:ascii="Times New Roman" w:hAnsi="Times New Roman"/>
          <w:sz w:val="26"/>
        </w:rPr>
        <w:t>Hướng thứ ba, xây dựng một nền tảng CBT số tiếng Việt theo mô hình của các ứng dụng đã được phát triển trên thế giới như Maya (Bress và cộng sự, 2024) hoặc ClearlyMe (Li và cộng sự, 2022), kết hợp với mạng lưới chuyển tiếp tới dịch vụ chuyên khoa khi cần. Nền tảng cần đáp ứng các yêu cầu bảo mật dữ liệu, cơ chế cảnh báo tự sát, và đánh giá hiệu quả liên tục thông qua dữ liệu sử dụng.</w:t>
      </w:r>
    </w:p>
    <w:p>
      <w:pPr>
        <w:ind w:firstLine="567"/>
        <w:jc w:val="both"/>
      </w:pPr>
      <w:r>
        <w:rPr>
          <w:rFonts w:ascii="Times New Roman" w:hAnsi="Times New Roman"/>
          <w:sz w:val="26"/>
        </w:rPr>
        <w:t>Hướng thứ tư, đào tạo bài bản cho đội ngũ giáo viên tâm lý học đường về sàng lọc lo âu, can thiệp sơ cấp và đánh giá đầu ra. Chương trình đào tạo nên có ba mức: chứng chỉ căn bản (40 giờ) cho giáo viên chủ nhiệm; chứng chỉ chuyên môn (200 giờ) cho giáo viên tâm lý học đường; và chứng chỉ chuyên sâu (sau đại học) cho chuyên gia tâm lý lâm sàng.</w:t>
      </w:r>
    </w:p>
    <w:p>
      <w:pPr>
        <w:ind w:firstLine="567"/>
        <w:jc w:val="both"/>
      </w:pPr>
      <w:r>
        <w:rPr>
          <w:rFonts w:ascii="Times New Roman" w:hAnsi="Times New Roman"/>
          <w:sz w:val="26"/>
        </w:rPr>
        <w:t>Hướng thứ năm, thiết lập một mạng lưới nghiên cứu can thiệp Việt Nam kết nối các trường đại học, viện nghiên cứu và bệnh viện tâm thần để chuẩn hóa thang đo, giao thức và quy trình báo cáo. Mạng lưới này có thể tổ chức theo mô hình consortium với hội đồng điều phối quay vòng giữa các đơn vị thành viên.</w:t>
      </w:r>
    </w:p>
    <w:p>
      <w:pPr>
        <w:pStyle w:val="Heading2"/>
      </w:pPr>
      <w:r>
        <w:rPr>
          <w:rFonts w:ascii="Times New Roman" w:hAnsi="Times New Roman"/>
          <w:color w:val="000000"/>
        </w:rPr>
        <w:t>5.8. Phối hợp ba cấp độ để các hướng nghiên cứu khả thi</w:t>
      </w:r>
    </w:p>
    <w:p>
      <w:pPr>
        <w:ind w:firstLine="567"/>
        <w:jc w:val="both"/>
      </w:pPr>
      <w:r>
        <w:rPr>
          <w:rFonts w:ascii="Times New Roman" w:hAnsi="Times New Roman"/>
          <w:sz w:val="26"/>
        </w:rPr>
        <w:t>Để các khuyến nghị này khả thi, cần xác lập rõ vai trò của các bên liên quan ở ba cấp độ. Ở cấp vĩ mô,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Sự phối hợp liên bộ này cần được điều phối qua một hội đồng cấp quốc gia với cơ chế họp định kỳ và báo cáo kết quả minh bạch.</w:t>
      </w:r>
    </w:p>
    <w:p>
      <w:pPr>
        <w:ind w:firstLine="567"/>
        <w:jc w:val="both"/>
      </w:pPr>
      <w:r>
        <w:rPr>
          <w:rFonts w:ascii="Times New Roman" w:hAnsi="Times New Roman"/>
          <w:sz w:val="26"/>
        </w:rPr>
        <w:t>Ở cấp trung mô, các trường đại học sư phạm và trường đại học có ngành tâm lý học chịu trách nhiệm đào tạo nhân lực chuyên môn và phối hợp chuyển giao công nghệ. Các viện nghiên cứu, bệnh viện tâm thần đóng vai trò là đơn vị triển khai thử nghiệm và xây dựng cơ sở bằng chứng. Khu vực tư nhân và các tổ chức phi chính phủ có vai trò bổ sung trong phát triển nền tảng số và cung cấp dịch vụ chăm sóc khi hệ thống công lập quá tải.</w:t>
      </w:r>
    </w:p>
    <w:p>
      <w:pPr>
        <w:ind w:firstLine="567"/>
        <w:jc w:val="both"/>
      </w:pPr>
      <w:r>
        <w:rPr>
          <w:rFonts w:ascii="Times New Roman" w:hAnsi="Times New Roman"/>
          <w:sz w:val="26"/>
        </w:rPr>
        <w:t>Ở cấp vi mô, các trường THCS là điểm tiếp xúc trực tiếp với học sinh, là nơi triển khai chương trình can thiệp cụ thể, đồng thời cũng là nguồn dữ liệu thực địa cho các nghiên cứu. Vai trò của hiệu trưởng và đội ngũ giáo viên chủ nhiệm rất quan trọng trong việc tạo môi trường thuận lợi cho triển khai – bao gồm sắp xếp thời khóa biểu, hỗ trợ vận hành và phối hợp với phụ huynh.</w:t>
      </w:r>
    </w:p>
    <w:p>
      <w:pPr>
        <w:ind w:firstLine="567"/>
        <w:jc w:val="both"/>
      </w:pPr>
      <w:r>
        <w:rPr>
          <w:rFonts w:ascii="Times New Roman" w:hAnsi="Times New Roman"/>
          <w:sz w:val="26"/>
        </w:rPr>
        <w:t>Sự phối hợp ba cấp độ này không thể được hình thành một cách tự phát mà cần được thiết kế và điều phối có chủ ý. Mô hình đề xuất là thành lập một Ban Điều phối Quốc gia về Sức khỏe Tâm thần Học đường, với sự tham gia của đại diện ba Bộ (Y tế, Giáo dục, Khoa học – Công nghệ), các chuyên gia học thuật, và đại diện cộng đồng. Ban này có nhiệm vụ ra các khuyến nghị chiến lược, điều phối nguồn lực và giám sát thực hiện.</w:t>
      </w:r>
    </w:p>
    <w:p>
      <w:pPr>
        <w:pStyle w:val="Heading2"/>
      </w:pPr>
      <w:r>
        <w:rPr>
          <w:rFonts w:ascii="Times New Roman" w:hAnsi="Times New Roman"/>
          <w:color w:val="000000"/>
        </w:rPr>
        <w:t>5.9. Hàm ý cho các chương tiếp theo của luận án</w:t>
      </w:r>
    </w:p>
    <w:p>
      <w:pPr>
        <w:ind w:firstLine="567"/>
        <w:jc w:val="both"/>
      </w:pPr>
      <w:r>
        <w:rPr>
          <w:rFonts w:ascii="Times New Roman" w:hAnsi="Times New Roman"/>
          <w:sz w:val="26"/>
        </w:rPr>
        <w:t>Tổng quan can thiệp ở chương này có ba hàm ý trực tiếp cho các chương tiếp theo của luận án. Thứ nhất, các chương thực trạng cần thu thập dữ liệu không chỉ về tỷ lệ và yếu tố nguy cơ mà còn về hiện trạng tiếp cận dịch vụ tâm lý của HSTHCS — bao gồm các kênh đã có và các rào cản tiếp cận. Thứ hai, nếu luận án có phần thực nghiệm can thiệp, thiết kế nên dựa trên một trong các giao thức CBT đã được kiểm chứng quốc tế (Coping Cat, FRIENDS, Cool Kids, Journey of the Brave) và được bản địa hóa cẩn thận cho ngữ cảnh Việt Nam, ưu tiên triển khai trong môi trường trường học. Thứ ba, các khuyến nghị cuối luận án nên đề cập rõ tới các hướng nghiên cứu ưu tiên đã nêu ở mục 5.7, đặt trong khung phối hợp ba cấp độ ở mục 5.8.</w:t>
      </w:r>
    </w:p>
    <w:p>
      <w:pPr>
        <w:ind w:firstLine="567"/>
        <w:jc w:val="both"/>
      </w:pPr>
      <w:r>
        <w:rPr>
          <w:rFonts w:ascii="Times New Roman" w:hAnsi="Times New Roman"/>
          <w:sz w:val="26"/>
        </w:rPr>
        <w:t>Mở rộng hơn, tổng quan này gợi ý rằng một luận án nghiên cứu can thiệp cho HSTHCS Việt Nam nên cân nhắc thiết kế dạng kết hợp: vừa khảo sát thực trạng (yếu tố nguy cơ, tỷ lệ, biểu hiện) vừa thử nghiệm một can thiệp mới hoặc bản địa hóa một giao thức quốc tế. Thiết kế kết hợp này tận dụng được sự đầu tư về phương tiện đo lường và nguồn dữ liệu, đồng thời cho phép tạo ra cả tri thức về thực trạng và bằng chứng về hiệu quả can thiệp.</w:t>
      </w:r>
    </w:p>
    <w:p>
      <w:pPr>
        <w:pStyle w:val="Heading1"/>
      </w:pPr>
      <w:r>
        <w:rPr>
          <w:rFonts w:ascii="Times New Roman" w:hAnsi="Times New Roman"/>
          <w:color w:val="000000"/>
        </w:rPr>
        <w:t>6. Kết luận chương</w:t>
      </w:r>
    </w:p>
    <w:p>
      <w:pPr>
        <w:ind w:firstLine="567"/>
        <w:jc w:val="both"/>
      </w:pPr>
      <w:r>
        <w:rPr>
          <w:rFonts w:ascii="Times New Roman" w:hAnsi="Times New Roman"/>
          <w:sz w:val="26"/>
        </w:rPr>
        <w:t>Chương này đã hệ thống hóa ba nhóm chính của can thiệp CBT cho rối loạn lo âu ở HSTHCS: CBT đã xác nhận hiệu quả qua thử nghiệm lâm sàng, CBT triển khai tại trường, và CBT qua nền tảng số. Khung phân tích ba kênh × ba tầng được sử dụng xuyên suốt cho phép phân loại các nghiên cứu theo cấp độ dịch vụ và kênh cung cấp, làm rõ chỗ nào đã có bằng chứng quốc tế và chỗ nào còn khoảng trống ở Việt Nam.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pPr>
        <w:ind w:firstLine="567"/>
        <w:jc w:val="both"/>
      </w:pPr>
      <w:r>
        <w:rPr>
          <w:rFonts w:ascii="Times New Roman" w:hAnsi="Times New Roman"/>
          <w:sz w:val="26"/>
        </w:rPr>
        <w:t>Nhóm tác giả nhận diện năm khoảng trống chính trong nghiên cứu can thiệp tại Việt Nam: (i) thiếu thử nghiệm lâm sàng ngẫu nhiên đa trung tâm trên mẫu HSTHCS; (ii) thiếu chương trình CBT trường học phù hợp với Chương trình giáo dục phổ thông 2018; (iii) thiếu nền tảng CBT số tiếng Việt được kiểm định; (iv) thiếu các nghiên cứu thiết kế và đo lường kết cục dài hạn; (v) thiếu công cụ sàng lọc và đo lường chuẩn hóa tiếng Việt. Trên cơ sở các khoảng trống này, nhóm tác giả đề xuất năm hướng nghiên cứu ưu tiên cho giai đoạn 2026–2030, đặt trong khung phối hợp ba cấp độ giữa vĩ mô, trung mô và vi mô.</w:t>
      </w:r>
    </w:p>
    <w:p>
      <w:pPr>
        <w:ind w:firstLine="567"/>
        <w:jc w:val="both"/>
      </w:pPr>
      <w:r>
        <w:rPr>
          <w:rFonts w:ascii="Times New Roman" w:hAnsi="Times New Roman"/>
          <w:sz w:val="26"/>
        </w:rPr>
        <w:t>Tổng quan này, kết hợp với chương về yếu tố nguy cơ, cung cấp một bức tranh toàn diện đặt nền móng cho các nghiên cứu can thiệp ưu tiên trong giai đoạn 2026–2030. Sự kết hợp hai chương — một về yếu tố nguy cơ, một về khoảng trống can thiệp — phản ánh logic của một chương trình nghiên cứu dài hạn: nhận diện yếu tố nguy cơ trước, sau đó thiết kế can thiệp phù hợp với các yếu tố đó. Các phát hiện trong chương sẽ được sử dụng để định hình thiết kế nghiên cứu thực nghiệm ở các chương sau của luận án, cũng như khung khuyến nghị cuối cùng cho hệ thống can thiệp sức khỏe tâm thần học đường tại Việt Nam.</w:t>
      </w:r>
    </w:p>
    <w:p>
      <w:pPr>
        <w:pStyle w:val="Heading1"/>
      </w:pPr>
      <w:r>
        <w:rPr>
          <w:rFonts w:ascii="Times New Roman" w:hAnsi="Times New Roman"/>
          <w:color w:val="000000"/>
        </w:rPr>
        <w:t>7. Tài liệu tham khảo</w:t>
      </w:r>
    </w:p>
    <w:p>
      <w:pPr>
        <w:ind w:firstLine="567"/>
        <w:jc w:val="both"/>
      </w:pPr>
      <w:r>
        <w:rPr>
          <w:rFonts w:ascii="Times New Roman" w:hAnsi="Times New Roman"/>
          <w:sz w:val="26"/>
        </w:rPr>
        <w:t>Barrett, P. M., Dadds, M. R., &amp; Rapee, R. M. (1996). Family treatment of childhood anxiety: A controlled trial. Journal of Consulting and Clinical Psychology, 64(2), 333-342. https://doi.org/10.1037/0022-006X.64.2.333</w:t>
      </w:r>
    </w:p>
    <w:p>
      <w:pPr>
        <w:ind w:firstLine="567"/>
        <w:jc w:val="both"/>
      </w:pPr>
      <w:r>
        <w:rPr>
          <w:rFonts w:ascii="Times New Roman" w:hAnsi="Times New Roman"/>
          <w:sz w:val="26"/>
        </w:rPr>
        <w:t>Beck, A. T. (1976). Cognitive therapy and the emotional disorders. International Universities Press.</w:t>
      </w:r>
    </w:p>
    <w:p>
      <w:pPr>
        <w:ind w:firstLine="567"/>
        <w:jc w:val="both"/>
      </w:pPr>
      <w:r>
        <w:rPr>
          <w:rFonts w:ascii="Times New Roman" w:hAnsi="Times New Roman"/>
          <w:sz w:val="26"/>
        </w:rPr>
        <w:t>Bower, P., &amp; Gilbody, S. (2005). Stepped care in psychological therapies: Access, effectiveness and efficiency. British Journal of Psychiatry, 186(1), 11-17. https://doi.org/10.1192/bjp.186.1.11</w:t>
      </w:r>
    </w:p>
    <w:p>
      <w:pPr>
        <w:ind w:firstLine="567"/>
        <w:jc w:val="both"/>
      </w:pPr>
      <w:r>
        <w:rPr>
          <w:rFonts w:ascii="Times New Roman" w:hAnsi="Times New Roman"/>
          <w:sz w:val="26"/>
        </w:rPr>
        <w:t>Bradshaw, C. P., McDaniel, H. L., Pas, E. T., Debnam, K. J., Bottiani, J. H., Powell, N., Ialongo, N. S., Morgan-Lopez, A. A., &amp; Lochman, J. E. (2025). Randomized controlled trial of the early adolescent coping power program: Effects on emotional and behavioral problems in middle schoolers. Journal of School Psychology, 110, Article 101437. https://doi.org/10.1016/j.jsp.2025.101437</w:t>
      </w:r>
    </w:p>
    <w:p>
      <w:pPr>
        <w:ind w:firstLine="567"/>
        <w:jc w:val="both"/>
      </w:pPr>
      <w:r>
        <w:rPr>
          <w:rFonts w:ascii="Times New Roman" w:hAnsi="Times New Roman"/>
          <w:sz w:val="26"/>
        </w:rPr>
        <w:t>Bress, J. N., Falk, A., Schier, M. M., Jaywant, A., Moroney, E., Dargis, M., Bennett, S. M., Scult, M. A., Volpp, K. G., Asch, D. A., Balachandran, M., Perlis, R. H., Lee, F. S., &amp; Gunning, F. M. (2024). Efficacy of a mobile app-based intervention for young adults with anxiety disorders: A randomized clinical trial. JAMA Network Open, 7(8), Article e2428372. https://doi.org/10.1001/jamanetworkopen.2024.28372</w:t>
      </w:r>
    </w:p>
    <w:p>
      <w:pPr>
        <w:ind w:firstLine="567"/>
        <w:jc w:val="both"/>
      </w:pPr>
      <w:r>
        <w:rPr>
          <w:rFonts w:ascii="Times New Roman" w:hAnsi="Times New Roman"/>
          <w:sz w:val="26"/>
        </w:rPr>
        <w:t>Cai, C., Mei, Z., Wang, Z., &amp; Luo, S. (2025). School-based interventions for resilience in children and adolescents: A systematic review and meta-analysis of randomized controlled trials. Frontiers in Psychiatry, 16, Article 1594658. https://doi.org/10.3389/fpsyt.2025.1594658</w:t>
      </w:r>
    </w:p>
    <w:p>
      <w:pPr>
        <w:ind w:firstLine="567"/>
        <w:jc w:val="both"/>
      </w:pPr>
      <w:r>
        <w:rPr>
          <w:rFonts w:ascii="Times New Roman" w:hAnsi="Times New Roman"/>
          <w:sz w:val="26"/>
        </w:rPr>
        <w:t>Compas, B. E., Jaser, S. S., Bettis, A. H., Watson, K. H., Gruhn, M. A., Dunbar, J. P., Williams, E., &amp; Thigpen, J. C. (2017). Coping, emotion regulation, and psychopathology in childhood and adolescence: A meta-analysis and narrative review. Psychological Bulletin, 143(9), 939-991.</w:t>
      </w:r>
    </w:p>
    <w:p>
      <w:pPr>
        <w:ind w:firstLine="567"/>
        <w:jc w:val="both"/>
      </w:pPr>
      <w:r>
        <w:rPr>
          <w:rFonts w:ascii="Times New Roman" w:hAnsi="Times New Roman"/>
          <w:sz w:val="26"/>
        </w:rPr>
        <w:t>He, Q., Li, J., Wang, J., &amp; Qu, Z. (2026). Preventing depression in Chinese children and adolescents: A pilot study of a brief school-based cognitive behavioral group program. Journal of Affective Disorders, 394, Article 120559. https://doi.org/10.1016/j.jad.2025.120559</w:t>
      </w:r>
    </w:p>
    <w:p>
      <w:pPr>
        <w:ind w:firstLine="567"/>
        <w:jc w:val="both"/>
      </w:pPr>
      <w:r>
        <w:rPr>
          <w:rFonts w:ascii="Times New Roman" w:hAnsi="Times New Roman"/>
          <w:sz w:val="26"/>
        </w:rPr>
        <w:t>Kendall, P. C. (1994). Treating anxiety disorders in children: Results of a randomized clinical trial. Journal of Consulting and Clinical Psychology, 62(1), 100-110. https://doi.org/10.1037/0022-006X.62.1.100</w:t>
      </w:r>
    </w:p>
    <w:p>
      <w:pPr>
        <w:ind w:firstLine="567"/>
        <w:jc w:val="both"/>
      </w:pPr>
      <w:r>
        <w:rPr>
          <w:rFonts w:ascii="Times New Roman" w:hAnsi="Times New Roman"/>
          <w:sz w:val="26"/>
        </w:rPr>
        <w:t>Li, S. H., Achilles, M. R., Spanos, S., Habak, S., Werner-Seidler, A., &amp; ODea, B. (2022). A cognitive behavioural therapy smartphone app for adolescent depression and anxiety: Co-design of ClearlyMe. The Cognitive Behaviour Therapist, 15, Article e13. https://doi.org/10.1017/S1754470X22000095</w:t>
      </w:r>
    </w:p>
    <w:p>
      <w:pPr>
        <w:ind w:firstLine="567"/>
        <w:jc w:val="both"/>
      </w:pPr>
      <w:r>
        <w:rPr>
          <w:rFonts w:ascii="Times New Roman" w:hAnsi="Times New Roman"/>
          <w:sz w:val="26"/>
        </w:rPr>
        <w:t>Liu, S., Xiao, H., Duan, Y., Shi, L., Wang, P., Cao, L., Li, H., Huang, X., &amp; Qiu, C. (2025). CBT treatment delivery formats for generalized anxiety disorder: A systematic review and network meta-analysis of randomized controlled trials. Translational Psychiatry, 15, Article 197. https://doi.org/10.1038/s41398-025-03414-3</w:t>
      </w:r>
    </w:p>
    <w:p>
      <w:pPr>
        <w:ind w:firstLine="567"/>
        <w:jc w:val="both"/>
      </w:pPr>
      <w:r>
        <w:rPr>
          <w:rFonts w:ascii="Times New Roman" w:hAnsi="Times New Roman"/>
          <w:sz w:val="26"/>
        </w:rPr>
        <w:t>Matsumoto, K., Hamatani, S., Shiga, K., Iiboshi, K., Kasai, M., Kimura, Y., Yokota, S., Watanabe, K., Kubo, Y., &amp; Nakamura, M. (2024). Effectiveness of unguided internet-based cognitive behavioral therapy for subthreshold social anxiety disorder in adolescents and young adults: Multicenter randomized controlled trial. JMIR Pediatrics and Parenting, 7, Article e55786. https://doi.org/10.2196/55786</w:t>
      </w:r>
    </w:p>
    <w:p>
      <w:pPr>
        <w:ind w:firstLine="567"/>
        <w:jc w:val="both"/>
      </w:pPr>
      <w:r>
        <w:rPr>
          <w:rFonts w:ascii="Times New Roman" w:hAnsi="Times New Roman"/>
          <w:sz w:val="26"/>
        </w:rPr>
        <w:t>Mrazek, P. J., &amp; Haggerty, R. J. (Eds.). (1994). Reducing risks for mental disorders: Frontiers for preventive intervention research. National Academies Press. https://doi.org/10.17226/2139</w:t>
      </w:r>
    </w:p>
    <w:p>
      <w:pPr>
        <w:ind w:firstLine="567"/>
        <w:jc w:val="both"/>
      </w:pPr>
      <w:r>
        <w:rPr>
          <w:rFonts w:ascii="Times New Roman" w:hAnsi="Times New Roman"/>
          <w:sz w:val="26"/>
        </w:rPr>
        <w:t>Praptomojati, A., Icanervilia, A. V., Nauta, M. H., &amp; Bouman, T. K. (2024). A systematic review of culturally adapted cognitive behavioral therapy (CA-CBT) for anxiety disorders in Southeast Asia. Asian Journal of Psychiatry, 92, Article 103896. https://doi.org/10.1016/j.ajp.2023.103896</w:t>
      </w:r>
    </w:p>
    <w:p>
      <w:pPr>
        <w:ind w:firstLine="567"/>
        <w:jc w:val="both"/>
      </w:pPr>
      <w:r>
        <w:rPr>
          <w:rFonts w:ascii="Times New Roman" w:hAnsi="Times New Roman"/>
          <w:sz w:val="26"/>
        </w:rPr>
        <w:t>Urao, Y., Yoshida, M., Koshiba, T., Sato, Y., Ishikawa, S., &amp; Shimizu, E. (2018). Effectiveness of a cognitive behavioural therapy-based anxiety prevention programme at an elementary school in Japan: A quasi-experimental study. Child and Adolescent Psychiatry and Mental Health, 12, Article 33. https://doi.org/10.1186/s13034-018-0240-5</w:t>
      </w:r>
    </w:p>
    <w:p>
      <w:pPr>
        <w:ind w:firstLine="567"/>
        <w:jc w:val="both"/>
      </w:pPr>
      <w:r>
        <w:rPr>
          <w:rFonts w:ascii="Times New Roman" w:hAnsi="Times New Roman"/>
          <w:sz w:val="26"/>
        </w:rPr>
        <w:t>Urao, Y., Yoshida, M., Sato, Y., &amp; Shimizu, E. (2022). School-based cognitive behavioural intervention programme for addressing anxiety in 10- to 11-year-olds using short classroom activities in Japan: A quasi-experimental study. BMC Psychiatry, 22, Article 658. https://doi.org/10.1186/s12888-022-04326-y</w:t>
      </w:r>
    </w:p>
    <w:p>
      <w:pPr>
        <w:ind w:firstLine="567"/>
        <w:jc w:val="both"/>
      </w:pPr>
      <w:r>
        <w:rPr>
          <w:rFonts w:ascii="Times New Roman" w:hAnsi="Times New Roman"/>
          <w:sz w:val="26"/>
        </w:rPr>
        <w:t>Walder, N., Frey, A., Berger, T., &amp; Schmidt, S. J. (2025). Digital mental health interventions for the prevention and treatment of social anxiety disorder in children, adolescents, and young adults: A systematic review and meta-analysis of randomized controlled trials. Journal of Medical Internet Research, 27, Article e67067. https://doi.org/10.2196/67067</w:t>
      </w:r>
    </w:p>
    <w:p>
      <w:pPr>
        <w:ind w:firstLine="567"/>
        <w:jc w:val="both"/>
      </w:pPr>
      <w:r>
        <w:rPr>
          <w:rFonts w:ascii="Times New Roman" w:hAnsi="Times New Roman"/>
          <w:sz w:val="26"/>
        </w:rPr>
        <w:t>Xian, J., Zhang, Y., &amp; Jiang, B. (2024). Psychological interventions for social anxiety disorder in children and adolescents: A systematic review and network meta-analysis. Journal of Affective Disorders, 365, 614-627. https://doi.org/10.1016/j.jad.2024.08.097</w:t>
      </w:r>
    </w:p>
    <w:p>
      <w:pPr>
        <w:ind w:firstLine="567"/>
        <w:jc w:val="both"/>
      </w:pPr>
      <w:r>
        <w:rPr>
          <w:rFonts w:ascii="Times New Roman" w:hAnsi="Times New Roman"/>
          <w:sz w:val="26"/>
        </w:rPr>
        <w:t>Tran Nguyen Ngoc. (2018). Danh gia hieu qua dieu tri roi loan lo au lan toa bang lieu phap thu gian luyen tap [Luan an tien si y hoc, Truong Dai hoc Y Ha Noi]. Truong Dai hoc Y Ha Noi.</w:t>
      </w:r>
    </w:p>
    <w:p>
      <w:pPr>
        <w:ind w:firstLine="567"/>
        <w:jc w:val="both"/>
      </w:pPr>
      <w:r>
        <w:rPr>
          <w:rFonts w:ascii="Times New Roman" w:hAnsi="Times New Roman"/>
          <w:sz w:val="26"/>
        </w:rPr>
        <w:t>Tran, T. D., Nguyen, H., Shochet, I., Nguyen, N., La, N., Wurfl, A., Orr, J., Nguyen, H., Stocker, R., &amp; Fisher, J. (2023). School-based universal mental health promotion intervention for adolescents in Vietnam: Two-arm, parallel, controlled trial. Cambridge Prisms: Global Mental Health, 10, Article e69. https://doi.org/10.1017/gmh.2023.66</w:t>
      </w:r>
    </w:p>
    <w:p>
      <w:pPr>
        <w:ind w:firstLine="567"/>
        <w:jc w:val="both"/>
      </w:pPr>
      <w:r>
        <w:rPr>
          <w:rFonts w:ascii="Times New Roman" w:hAnsi="Times New Roman"/>
          <w:sz w:val="26"/>
        </w:rPr>
        <w:t>Vien Xa hoi hoc, Dai hoc Queensland, &amp; Dai hoc Johns Hopkins. (2022). Viet Nam adolescent mental health survey (V-NAMHS): Report on main findings. Vien Xa hoi hoc.</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