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jc w:val="center"/>
      </w:pPr>
      <w:r>
        <w:rPr>
          <w:rFonts w:ascii="Times New Roman" w:hAnsi="Times New Roman" w:eastAsia="Times New Roman"/>
          <w:b/>
          <w:i w:val="0"/>
          <w:color w:val="1F3A68"/>
          <w:sz w:val="32"/>
        </w:rPr>
        <w:t>KHUNG GỢI Ý BÀI BÁO Q2.5 TIẾNG ANH</w:t>
      </w:r>
    </w:p>
    <w:p>
      <w:pPr>
        <w:spacing w:before="60" w:after="240" w:line="276" w:lineRule="auto"/>
        <w:jc w:val="center"/>
      </w:pPr>
      <w:r>
        <w:rPr>
          <w:rFonts w:ascii="Times New Roman" w:hAnsi="Times New Roman" w:eastAsia="Times New Roman"/>
          <w:b w:val="0"/>
          <w:i/>
          <w:sz w:val="24"/>
        </w:rPr>
        <w:t>Differential pathways from school risk factors to anxiety disorder subtypes in Vietnamese junior secondary students — A structural equation modelling study</w:t>
      </w:r>
    </w:p>
    <w:p>
      <w:pPr>
        <w:spacing w:before="60" w:after="280" w:line="276" w:lineRule="auto"/>
        <w:jc w:val="center"/>
      </w:pPr>
      <w:r>
        <w:rPr>
          <w:rFonts w:ascii="Times New Roman" w:hAnsi="Times New Roman" w:eastAsia="Times New Roman"/>
          <w:b w:val="0"/>
          <w:i/>
          <w:color w:val="707070"/>
          <w:sz w:val="20"/>
        </w:rPr>
        <w:t>Ngày: 14/05/2026 — Tiếp nối sau 3 bài đã chuẩn bị: 1 bài validation Tâm lý học VN + 2 bài VJES</w:t>
      </w:r>
    </w:p>
    <w:p>
      <w:pPr>
        <w:spacing w:before="280" w:after="120" w:line="276" w:lineRule="auto"/>
      </w:pPr>
      <w:r>
        <w:rPr>
          <w:rFonts w:ascii="Times New Roman" w:hAnsi="Times New Roman" w:eastAsia="Times New Roman"/>
          <w:b/>
          <w:i w:val="0"/>
          <w:color w:val="1F3A68"/>
          <w:sz w:val="28"/>
        </w:rPr>
        <w:t>0. Bối cảnh và lý do chiến lược</w:t>
      </w:r>
    </w:p>
    <w:p>
      <w:pPr>
        <w:spacing w:before="160" w:after="60" w:line="276" w:lineRule="auto"/>
      </w:pPr>
      <w:r>
        <w:rPr>
          <w:rFonts w:ascii="Times New Roman" w:hAnsi="Times New Roman" w:eastAsia="Times New Roman"/>
          <w:b/>
          <w:i/>
          <w:sz w:val="24"/>
        </w:rPr>
        <w:t>Three published companion papers (3 bài đã chuẩn bị/công bố)</w:t>
      </w:r>
    </w:p>
    <w:tbl>
      <w:tblPr>
        <w:tblStyle w:val="LightGrid"/>
        <w:tblW w:type="auto" w:w="0"/>
        <w:tblLook w:firstColumn="1" w:firstRow="1" w:lastColumn="0" w:lastRow="0" w:noHBand="0" w:noVBand="1" w:val="04A0"/>
      </w:tblPr>
      <w:tblGrid>
        <w:gridCol w:w="1972"/>
        <w:gridCol w:w="1972"/>
        <w:gridCol w:w="1972"/>
        <w:gridCol w:w="1972"/>
        <w:gridCol w:w="1972"/>
      </w:tblGrid>
      <w:tr>
        <w:tc>
          <w:tcPr>
            <w:tcW w:type="dxa" w:w="1972"/>
          </w:tcPr>
          <w:p>
            <w:r/>
            <w:r>
              <w:rPr>
                <w:rFonts w:ascii="Times New Roman" w:hAnsi="Times New Roman" w:eastAsia="Times New Roman"/>
                <w:b/>
                <w:i w:val="0"/>
                <w:sz w:val="22"/>
              </w:rPr>
              <w:t>#</w:t>
            </w:r>
          </w:p>
        </w:tc>
        <w:tc>
          <w:tcPr>
            <w:tcW w:type="dxa" w:w="1972"/>
          </w:tcPr>
          <w:p>
            <w:r/>
            <w:r>
              <w:rPr>
                <w:rFonts w:ascii="Times New Roman" w:hAnsi="Times New Roman" w:eastAsia="Times New Roman"/>
                <w:b/>
                <w:i w:val="0"/>
                <w:sz w:val="22"/>
              </w:rPr>
              <w:t>Bài</w:t>
            </w:r>
          </w:p>
        </w:tc>
        <w:tc>
          <w:tcPr>
            <w:tcW w:type="dxa" w:w="1972"/>
          </w:tcPr>
          <w:p>
            <w:r/>
            <w:r>
              <w:rPr>
                <w:rFonts w:ascii="Times New Roman" w:hAnsi="Times New Roman" w:eastAsia="Times New Roman"/>
                <w:b/>
                <w:i w:val="0"/>
                <w:sz w:val="22"/>
              </w:rPr>
              <w:t>Loại</w:t>
            </w:r>
          </w:p>
        </w:tc>
        <w:tc>
          <w:tcPr>
            <w:tcW w:type="dxa" w:w="1972"/>
          </w:tcPr>
          <w:p>
            <w:r/>
            <w:r>
              <w:rPr>
                <w:rFonts w:ascii="Times New Roman" w:hAnsi="Times New Roman" w:eastAsia="Times New Roman"/>
                <w:b/>
                <w:i w:val="0"/>
                <w:sz w:val="22"/>
              </w:rPr>
              <w:t>Đối tượng / Mẫu</w:t>
            </w:r>
          </w:p>
        </w:tc>
        <w:tc>
          <w:tcPr>
            <w:tcW w:type="dxa" w:w="1972"/>
          </w:tcPr>
          <w:p>
            <w:r/>
            <w:r>
              <w:rPr>
                <w:rFonts w:ascii="Times New Roman" w:hAnsi="Times New Roman" w:eastAsia="Times New Roman"/>
                <w:b/>
                <w:i w:val="0"/>
                <w:sz w:val="22"/>
              </w:rPr>
              <w:t>Tạp chí / Tình trạng</w:t>
            </w:r>
          </w:p>
        </w:tc>
      </w:tr>
      <w:tr>
        <w:tc>
          <w:tcPr>
            <w:tcW w:type="dxa" w:w="1972"/>
          </w:tcPr>
          <w:p>
            <w:r/>
            <w:r>
              <w:rPr>
                <w:rFonts w:ascii="Times New Roman" w:hAnsi="Times New Roman" w:eastAsia="Times New Roman"/>
                <w:b w:val="0"/>
                <w:i w:val="0"/>
                <w:sz w:val="22"/>
              </w:rPr>
              <w:t>1</w:t>
            </w:r>
          </w:p>
        </w:tc>
        <w:tc>
          <w:tcPr>
            <w:tcW w:type="dxa" w:w="1972"/>
          </w:tcPr>
          <w:p>
            <w:r/>
            <w:r>
              <w:rPr>
                <w:rFonts w:ascii="Times New Roman" w:hAnsi="Times New Roman" w:eastAsia="Times New Roman"/>
                <w:b w:val="0"/>
                <w:i w:val="0"/>
                <w:sz w:val="22"/>
              </w:rPr>
              <w:t>Công Thị Hằng &amp; Đào Minh Đức (2026)</w:t>
            </w:r>
          </w:p>
        </w:tc>
        <w:tc>
          <w:tcPr>
            <w:tcW w:type="dxa" w:w="1972"/>
          </w:tcPr>
          <w:p>
            <w:r/>
            <w:r>
              <w:rPr>
                <w:rFonts w:ascii="Times New Roman" w:hAnsi="Times New Roman" w:eastAsia="Times New Roman"/>
                <w:b w:val="0"/>
                <w:i w:val="0"/>
                <w:sz w:val="22"/>
              </w:rPr>
              <w:t>Validation / CFA</w:t>
            </w:r>
          </w:p>
        </w:tc>
        <w:tc>
          <w:tcPr>
            <w:tcW w:type="dxa" w:w="1972"/>
          </w:tcPr>
          <w:p>
            <w:r/>
            <w:r>
              <w:rPr>
                <w:rFonts w:ascii="Times New Roman" w:hAnsi="Times New Roman" w:eastAsia="Times New Roman"/>
                <w:b w:val="0"/>
                <w:i w:val="0"/>
                <w:sz w:val="22"/>
              </w:rPr>
              <w:t>433 HSTHCS — DSM-5 scales</w:t>
            </w:r>
          </w:p>
        </w:tc>
        <w:tc>
          <w:tcPr>
            <w:tcW w:type="dxa" w:w="1972"/>
          </w:tcPr>
          <w:p>
            <w:r/>
            <w:r>
              <w:rPr>
                <w:rFonts w:ascii="Times New Roman" w:hAnsi="Times New Roman" w:eastAsia="Times New Roman"/>
                <w:b w:val="0"/>
                <w:i w:val="0"/>
                <w:sz w:val="22"/>
              </w:rPr>
              <w:t>Tạp chí Tâm lý học VN — đã sửa Turnitin, đang nộp</w:t>
            </w:r>
          </w:p>
        </w:tc>
      </w:tr>
      <w:tr>
        <w:tc>
          <w:tcPr>
            <w:tcW w:type="dxa" w:w="1972"/>
          </w:tcPr>
          <w:p>
            <w:r/>
            <w:r>
              <w:rPr>
                <w:rFonts w:ascii="Times New Roman" w:hAnsi="Times New Roman" w:eastAsia="Times New Roman"/>
                <w:b w:val="0"/>
                <w:i w:val="0"/>
                <w:sz w:val="22"/>
              </w:rPr>
              <w:t>2</w:t>
            </w:r>
          </w:p>
        </w:tc>
        <w:tc>
          <w:tcPr>
            <w:tcW w:type="dxa" w:w="1972"/>
          </w:tcPr>
          <w:p>
            <w:r/>
            <w:r>
              <w:rPr>
                <w:rFonts w:ascii="Times New Roman" w:hAnsi="Times New Roman" w:eastAsia="Times New Roman"/>
                <w:b w:val="0"/>
                <w:i w:val="0"/>
                <w:sz w:val="22"/>
              </w:rPr>
              <w:t>VJES Bài 1 — YTNC</w:t>
            </w:r>
          </w:p>
        </w:tc>
        <w:tc>
          <w:tcPr>
            <w:tcW w:type="dxa" w:w="1972"/>
          </w:tcPr>
          <w:p>
            <w:r/>
            <w:r>
              <w:rPr>
                <w:rFonts w:ascii="Times New Roman" w:hAnsi="Times New Roman" w:eastAsia="Times New Roman"/>
                <w:b w:val="0"/>
                <w:i w:val="0"/>
                <w:sz w:val="22"/>
              </w:rPr>
              <w:t>Narrative review</w:t>
            </w:r>
          </w:p>
        </w:tc>
        <w:tc>
          <w:tcPr>
            <w:tcW w:type="dxa" w:w="1972"/>
          </w:tcPr>
          <w:p>
            <w:r/>
            <w:r>
              <w:rPr>
                <w:rFonts w:ascii="Times New Roman" w:hAnsi="Times New Roman" w:eastAsia="Times New Roman"/>
                <w:b w:val="0"/>
                <w:i w:val="0"/>
                <w:sz w:val="22"/>
              </w:rPr>
              <w:t>Tổng quan literature 2015-2026</w:t>
            </w:r>
          </w:p>
        </w:tc>
        <w:tc>
          <w:tcPr>
            <w:tcW w:type="dxa" w:w="1972"/>
          </w:tcPr>
          <w:p>
            <w:r/>
            <w:r>
              <w:rPr>
                <w:rFonts w:ascii="Times New Roman" w:hAnsi="Times New Roman" w:eastAsia="Times New Roman"/>
                <w:b w:val="0"/>
                <w:i w:val="0"/>
                <w:sz w:val="22"/>
              </w:rPr>
              <w:t>VJES — chuẩn bị nộp 14/05/2026</w:t>
            </w:r>
          </w:p>
        </w:tc>
      </w:tr>
      <w:tr>
        <w:tc>
          <w:tcPr>
            <w:tcW w:type="dxa" w:w="1972"/>
          </w:tcPr>
          <w:p>
            <w:r/>
            <w:r>
              <w:rPr>
                <w:rFonts w:ascii="Times New Roman" w:hAnsi="Times New Roman" w:eastAsia="Times New Roman"/>
                <w:b w:val="0"/>
                <w:i w:val="0"/>
                <w:sz w:val="22"/>
              </w:rPr>
              <w:t>3</w:t>
            </w:r>
          </w:p>
        </w:tc>
        <w:tc>
          <w:tcPr>
            <w:tcW w:type="dxa" w:w="1972"/>
          </w:tcPr>
          <w:p>
            <w:r/>
            <w:r>
              <w:rPr>
                <w:rFonts w:ascii="Times New Roman" w:hAnsi="Times New Roman" w:eastAsia="Times New Roman"/>
                <w:b w:val="0"/>
                <w:i w:val="0"/>
                <w:sz w:val="22"/>
              </w:rPr>
              <w:t>VJES Bài 2 — Can thiệp CBT</w:t>
            </w:r>
          </w:p>
        </w:tc>
        <w:tc>
          <w:tcPr>
            <w:tcW w:type="dxa" w:w="1972"/>
          </w:tcPr>
          <w:p>
            <w:r/>
            <w:r>
              <w:rPr>
                <w:rFonts w:ascii="Times New Roman" w:hAnsi="Times New Roman" w:eastAsia="Times New Roman"/>
                <w:b w:val="0"/>
                <w:i w:val="0"/>
                <w:sz w:val="22"/>
              </w:rPr>
              <w:t>Narrative review</w:t>
            </w:r>
          </w:p>
        </w:tc>
        <w:tc>
          <w:tcPr>
            <w:tcW w:type="dxa" w:w="1972"/>
          </w:tcPr>
          <w:p>
            <w:r/>
            <w:r>
              <w:rPr>
                <w:rFonts w:ascii="Times New Roman" w:hAnsi="Times New Roman" w:eastAsia="Times New Roman"/>
                <w:b w:val="0"/>
                <w:i w:val="0"/>
                <w:sz w:val="22"/>
              </w:rPr>
              <w:t>Tổng quan CBT/School/Digital</w:t>
            </w:r>
          </w:p>
        </w:tc>
        <w:tc>
          <w:tcPr>
            <w:tcW w:type="dxa" w:w="1972"/>
          </w:tcPr>
          <w:p>
            <w:r/>
            <w:r>
              <w:rPr>
                <w:rFonts w:ascii="Times New Roman" w:hAnsi="Times New Roman" w:eastAsia="Times New Roman"/>
                <w:b w:val="0"/>
                <w:i w:val="0"/>
                <w:sz w:val="22"/>
              </w:rPr>
              <w:t>VJES — chuẩn bị nộp 14/05/2026</w:t>
            </w:r>
          </w:p>
        </w:tc>
      </w:tr>
    </w:tbl>
    <w:p>
      <w:pPr>
        <w:spacing w:before="160" w:after="60" w:line="276" w:lineRule="auto"/>
      </w:pPr>
      <w:r>
        <w:rPr>
          <w:rFonts w:ascii="Times New Roman" w:hAnsi="Times New Roman" w:eastAsia="Times New Roman"/>
          <w:b/>
          <w:i/>
          <w:sz w:val="24"/>
        </w:rPr>
        <w:t>Why Q2.5 paper now? (Vì sao cần bài Q2.5 lúc này)</w:t>
      </w:r>
    </w:p>
    <w:p>
      <w:pPr>
        <w:spacing w:before="60" w:after="60" w:line="276" w:lineRule="auto"/>
        <w:ind w:firstLine="340"/>
        <w:jc w:val="both"/>
      </w:pPr>
      <w:r>
        <w:rPr>
          <w:rFonts w:ascii="Times New Roman" w:hAnsi="Times New Roman" w:eastAsia="Times New Roman"/>
          <w:b w:val="0"/>
          <w:i w:val="0"/>
          <w:sz w:val="24"/>
        </w:rPr>
        <w:t>EN: The three companion papers establish (i) measurement validity of DSM-5 anxiety scales in Vietnamese adolescents, (ii) a state-of-the-art review of risk factors, and (iii) a review of intervention evidence. The natural next step is an EMPIRICAL paper that uses the validated scales (paper #1) to test pathway hypotheses arising from the risk-factor synthesis (paper #2). This sequence is publication-ethics-clean and maximises citation cross-linkage.</w:t>
      </w:r>
    </w:p>
    <w:p>
      <w:pPr>
        <w:spacing w:before="60" w:after="60" w:line="276" w:lineRule="auto"/>
        <w:ind w:firstLine="340"/>
        <w:jc w:val="both"/>
      </w:pPr>
      <w:r>
        <w:rPr>
          <w:rFonts w:ascii="Times New Roman" w:hAnsi="Times New Roman" w:eastAsia="Times New Roman"/>
          <w:b w:val="0"/>
          <w:i w:val="0"/>
          <w:sz w:val="24"/>
        </w:rPr>
        <w:t>VN: Ba bài đồng hành đã thiết lập (i) độ tin cậy đo lường của các thang DSM-5 trên vị thành niên Việt Nam, (ii) tổng quan yếu tố nguy cơ, và (iii) tổng quan can thiệp. Bước tiếp theo tự nhiên là một bài THỰC NGHIỆM dùng các thang đã được kiểm định trong bài 1 để kiểm định các giả thuyết đường dẫn rút ra từ tổng hợp yếu tố nguy cơ trong bài 2. Trình tự này hoàn toàn hợp đạo đức công bố và tối đa hóa liên kết trích dẫn.</w:t>
      </w:r>
    </w:p>
    <w:p>
      <w:pPr>
        <w:spacing w:before="280" w:after="120" w:line="276" w:lineRule="auto"/>
      </w:pPr>
      <w:r>
        <w:rPr>
          <w:rFonts w:ascii="Times New Roman" w:hAnsi="Times New Roman" w:eastAsia="Times New Roman"/>
          <w:b/>
          <w:i w:val="0"/>
          <w:color w:val="1F3A68"/>
          <w:sz w:val="28"/>
        </w:rPr>
        <w:t>1. Tạp chí mục tiêu Q2.5 — Top 3 + Backup</w:t>
      </w:r>
    </w:p>
    <w:tbl>
      <w:tblPr>
        <w:tblStyle w:val="LightGrid"/>
        <w:tblW w:type="auto" w:w="0"/>
        <w:tblLook w:firstColumn="1" w:firstRow="1" w:lastColumn="0" w:lastRow="0" w:noHBand="0" w:noVBand="1" w:val="04A0"/>
      </w:tblPr>
      <w:tblGrid>
        <w:gridCol w:w="1643"/>
        <w:gridCol w:w="1643"/>
        <w:gridCol w:w="1643"/>
        <w:gridCol w:w="1643"/>
        <w:gridCol w:w="1643"/>
        <w:gridCol w:w="1643"/>
      </w:tblGrid>
      <w:tr>
        <w:tc>
          <w:tcPr>
            <w:tcW w:type="dxa" w:w="1643"/>
          </w:tcPr>
          <w:p>
            <w:r/>
            <w:r>
              <w:rPr>
                <w:rFonts w:ascii="Times New Roman" w:hAnsi="Times New Roman" w:eastAsia="Times New Roman"/>
                <w:b/>
                <w:i w:val="0"/>
                <w:sz w:val="22"/>
              </w:rPr>
              <w:t>Hạng</w:t>
            </w:r>
          </w:p>
        </w:tc>
        <w:tc>
          <w:tcPr>
            <w:tcW w:type="dxa" w:w="1643"/>
          </w:tcPr>
          <w:p>
            <w:r/>
            <w:r>
              <w:rPr>
                <w:rFonts w:ascii="Times New Roman" w:hAnsi="Times New Roman" w:eastAsia="Times New Roman"/>
                <w:b/>
                <w:i w:val="0"/>
                <w:sz w:val="22"/>
              </w:rPr>
              <w:t>Tạp chí</w:t>
            </w:r>
          </w:p>
        </w:tc>
        <w:tc>
          <w:tcPr>
            <w:tcW w:type="dxa" w:w="1643"/>
          </w:tcPr>
          <w:p>
            <w:r/>
            <w:r>
              <w:rPr>
                <w:rFonts w:ascii="Times New Roman" w:hAnsi="Times New Roman" w:eastAsia="Times New Roman"/>
                <w:b/>
                <w:i w:val="0"/>
                <w:sz w:val="22"/>
              </w:rPr>
              <w:t>IF 2024</w:t>
            </w:r>
          </w:p>
        </w:tc>
        <w:tc>
          <w:tcPr>
            <w:tcW w:type="dxa" w:w="1643"/>
          </w:tcPr>
          <w:p>
            <w:r/>
            <w:r>
              <w:rPr>
                <w:rFonts w:ascii="Times New Roman" w:hAnsi="Times New Roman" w:eastAsia="Times New Roman"/>
                <w:b/>
                <w:i w:val="0"/>
                <w:sz w:val="22"/>
              </w:rPr>
              <w:t>Quartile / SJR</w:t>
            </w:r>
          </w:p>
        </w:tc>
        <w:tc>
          <w:tcPr>
            <w:tcW w:type="dxa" w:w="1643"/>
          </w:tcPr>
          <w:p>
            <w:r/>
            <w:r>
              <w:rPr>
                <w:rFonts w:ascii="Times New Roman" w:hAnsi="Times New Roman" w:eastAsia="Times New Roman"/>
                <w:b/>
                <w:i w:val="0"/>
                <w:sz w:val="22"/>
              </w:rPr>
              <w:t>APC</w:t>
            </w:r>
          </w:p>
        </w:tc>
        <w:tc>
          <w:tcPr>
            <w:tcW w:type="dxa" w:w="1643"/>
          </w:tcPr>
          <w:p>
            <w:r/>
            <w:r>
              <w:rPr>
                <w:rFonts w:ascii="Times New Roman" w:hAnsi="Times New Roman" w:eastAsia="Times New Roman"/>
                <w:b/>
                <w:i w:val="0"/>
                <w:sz w:val="22"/>
              </w:rPr>
              <w:t>Phù hợp</w:t>
            </w:r>
          </w:p>
        </w:tc>
      </w:tr>
      <w:tr>
        <w:tc>
          <w:tcPr>
            <w:tcW w:type="dxa" w:w="1643"/>
          </w:tcPr>
          <w:p>
            <w:r/>
            <w:r>
              <w:rPr>
                <w:rFonts w:ascii="Times New Roman" w:hAnsi="Times New Roman" w:eastAsia="Times New Roman"/>
                <w:b w:val="0"/>
                <w:i w:val="0"/>
                <w:sz w:val="22"/>
              </w:rPr>
              <w:t>🥇 #1</w:t>
            </w:r>
          </w:p>
        </w:tc>
        <w:tc>
          <w:tcPr>
            <w:tcW w:type="dxa" w:w="1643"/>
          </w:tcPr>
          <w:p>
            <w:r/>
            <w:r>
              <w:rPr>
                <w:rFonts w:ascii="Times New Roman" w:hAnsi="Times New Roman" w:eastAsia="Times New Roman"/>
                <w:b w:val="0"/>
                <w:i w:val="0"/>
                <w:sz w:val="22"/>
              </w:rPr>
              <w:t>Frontiers in Psychiatry</w:t>
            </w:r>
          </w:p>
        </w:tc>
        <w:tc>
          <w:tcPr>
            <w:tcW w:type="dxa" w:w="1643"/>
          </w:tcPr>
          <w:p>
            <w:r/>
            <w:r>
              <w:rPr>
                <w:rFonts w:ascii="Times New Roman" w:hAnsi="Times New Roman" w:eastAsia="Times New Roman"/>
                <w:b w:val="0"/>
                <w:i w:val="0"/>
                <w:sz w:val="22"/>
              </w:rPr>
              <w:t>3,10</w:t>
            </w:r>
          </w:p>
        </w:tc>
        <w:tc>
          <w:tcPr>
            <w:tcW w:type="dxa" w:w="1643"/>
          </w:tcPr>
          <w:p>
            <w:r/>
            <w:r>
              <w:rPr>
                <w:rFonts w:ascii="Times New Roman" w:hAnsi="Times New Roman" w:eastAsia="Times New Roman"/>
                <w:b w:val="0"/>
                <w:i w:val="0"/>
                <w:sz w:val="22"/>
              </w:rPr>
              <w:t>Q1 (SJR 1,19) / Q2 WoS</w:t>
            </w:r>
          </w:p>
        </w:tc>
        <w:tc>
          <w:tcPr>
            <w:tcW w:type="dxa" w:w="1643"/>
          </w:tcPr>
          <w:p>
            <w:r/>
            <w:r>
              <w:rPr>
                <w:rFonts w:ascii="Times New Roman" w:hAnsi="Times New Roman" w:eastAsia="Times New Roman"/>
                <w:b w:val="0"/>
                <w:i w:val="0"/>
                <w:sz w:val="22"/>
              </w:rPr>
              <w:t>~3.150 CHF (waiver LMIC)</w:t>
            </w:r>
          </w:p>
        </w:tc>
        <w:tc>
          <w:tcPr>
            <w:tcW w:type="dxa" w:w="1643"/>
          </w:tcPr>
          <w:p>
            <w:r/>
            <w:r>
              <w:rPr>
                <w:rFonts w:ascii="Times New Roman" w:hAnsi="Times New Roman" w:eastAsia="Times New Roman"/>
                <w:b w:val="0"/>
                <w:i w:val="0"/>
                <w:sz w:val="22"/>
              </w:rPr>
              <w:t>⭐⭐⭐⭐⭐</w:t>
            </w:r>
          </w:p>
        </w:tc>
      </w:tr>
      <w:tr>
        <w:tc>
          <w:tcPr>
            <w:tcW w:type="dxa" w:w="1643"/>
          </w:tcPr>
          <w:p>
            <w:r/>
            <w:r>
              <w:rPr>
                <w:rFonts w:ascii="Times New Roman" w:hAnsi="Times New Roman" w:eastAsia="Times New Roman"/>
                <w:b w:val="0"/>
                <w:i w:val="0"/>
                <w:sz w:val="22"/>
              </w:rPr>
              <w:t>🥈 #2</w:t>
            </w:r>
          </w:p>
        </w:tc>
        <w:tc>
          <w:tcPr>
            <w:tcW w:type="dxa" w:w="1643"/>
          </w:tcPr>
          <w:p>
            <w:r/>
            <w:r>
              <w:rPr>
                <w:rFonts w:ascii="Times New Roman" w:hAnsi="Times New Roman" w:eastAsia="Times New Roman"/>
                <w:b w:val="0"/>
                <w:i w:val="0"/>
                <w:sz w:val="22"/>
              </w:rPr>
              <w:t>Asian Journal of Psychiatry</w:t>
            </w:r>
          </w:p>
        </w:tc>
        <w:tc>
          <w:tcPr>
            <w:tcW w:type="dxa" w:w="1643"/>
          </w:tcPr>
          <w:p>
            <w:r/>
            <w:r>
              <w:rPr>
                <w:rFonts w:ascii="Times New Roman" w:hAnsi="Times New Roman" w:eastAsia="Times New Roman"/>
                <w:b w:val="0"/>
                <w:i w:val="0"/>
                <w:sz w:val="22"/>
              </w:rPr>
              <w:t>2,77</w:t>
            </w:r>
          </w:p>
        </w:tc>
        <w:tc>
          <w:tcPr>
            <w:tcW w:type="dxa" w:w="1643"/>
          </w:tcPr>
          <w:p>
            <w:r/>
            <w:r>
              <w:rPr>
                <w:rFonts w:ascii="Times New Roman" w:hAnsi="Times New Roman" w:eastAsia="Times New Roman"/>
                <w:b w:val="0"/>
                <w:i w:val="0"/>
                <w:sz w:val="22"/>
              </w:rPr>
              <w:t>Q1 SJR — cultural fit</w:t>
            </w:r>
          </w:p>
        </w:tc>
        <w:tc>
          <w:tcPr>
            <w:tcW w:type="dxa" w:w="1643"/>
          </w:tcPr>
          <w:p>
            <w:r/>
            <w:r>
              <w:rPr>
                <w:rFonts w:ascii="Times New Roman" w:hAnsi="Times New Roman" w:eastAsia="Times New Roman"/>
                <w:b w:val="0"/>
                <w:i w:val="0"/>
                <w:sz w:val="22"/>
              </w:rPr>
              <w:t>Tùy editor</w:t>
            </w:r>
          </w:p>
        </w:tc>
        <w:tc>
          <w:tcPr>
            <w:tcW w:type="dxa" w:w="1643"/>
          </w:tcPr>
          <w:p>
            <w:r/>
            <w:r>
              <w:rPr>
                <w:rFonts w:ascii="Times New Roman" w:hAnsi="Times New Roman" w:eastAsia="Times New Roman"/>
                <w:b w:val="0"/>
                <w:i w:val="0"/>
                <w:sz w:val="22"/>
              </w:rPr>
              <w:t>⭐⭐⭐⭐⭐</w:t>
            </w:r>
          </w:p>
        </w:tc>
      </w:tr>
      <w:tr>
        <w:tc>
          <w:tcPr>
            <w:tcW w:type="dxa" w:w="1643"/>
          </w:tcPr>
          <w:p>
            <w:r/>
            <w:r>
              <w:rPr>
                <w:rFonts w:ascii="Times New Roman" w:hAnsi="Times New Roman" w:eastAsia="Times New Roman"/>
                <w:b w:val="0"/>
                <w:i w:val="0"/>
                <w:sz w:val="22"/>
              </w:rPr>
              <w:t>🥉 #3</w:t>
            </w:r>
          </w:p>
        </w:tc>
        <w:tc>
          <w:tcPr>
            <w:tcW w:type="dxa" w:w="1643"/>
          </w:tcPr>
          <w:p>
            <w:r/>
            <w:r>
              <w:rPr>
                <w:rFonts w:ascii="Times New Roman" w:hAnsi="Times New Roman" w:eastAsia="Times New Roman"/>
                <w:b w:val="0"/>
                <w:i w:val="0"/>
                <w:sz w:val="22"/>
              </w:rPr>
              <w:t>Child Psychiatry &amp; Human Development</w:t>
            </w:r>
          </w:p>
        </w:tc>
        <w:tc>
          <w:tcPr>
            <w:tcW w:type="dxa" w:w="1643"/>
          </w:tcPr>
          <w:p>
            <w:r/>
            <w:r>
              <w:rPr>
                <w:rFonts w:ascii="Times New Roman" w:hAnsi="Times New Roman" w:eastAsia="Times New Roman"/>
                <w:b w:val="0"/>
                <w:i w:val="0"/>
                <w:sz w:val="22"/>
              </w:rPr>
              <w:t>2,20</w:t>
            </w:r>
          </w:p>
        </w:tc>
        <w:tc>
          <w:tcPr>
            <w:tcW w:type="dxa" w:w="1643"/>
          </w:tcPr>
          <w:p>
            <w:r/>
            <w:r>
              <w:rPr>
                <w:rFonts w:ascii="Times New Roman" w:hAnsi="Times New Roman" w:eastAsia="Times New Roman"/>
                <w:b w:val="0"/>
                <w:i w:val="0"/>
                <w:sz w:val="22"/>
              </w:rPr>
              <w:t>Q2 (SJR 1,0)</w:t>
            </w:r>
          </w:p>
        </w:tc>
        <w:tc>
          <w:tcPr>
            <w:tcW w:type="dxa" w:w="1643"/>
          </w:tcPr>
          <w:p>
            <w:r/>
            <w:r>
              <w:rPr>
                <w:rFonts w:ascii="Times New Roman" w:hAnsi="Times New Roman" w:eastAsia="Times New Roman"/>
                <w:b w:val="0"/>
                <w:i w:val="0"/>
                <w:sz w:val="22"/>
              </w:rPr>
              <w:t>~$2-3k</w:t>
            </w:r>
          </w:p>
        </w:tc>
        <w:tc>
          <w:tcPr>
            <w:tcW w:type="dxa" w:w="1643"/>
          </w:tcPr>
          <w:p>
            <w:r/>
            <w:r>
              <w:rPr>
                <w:rFonts w:ascii="Times New Roman" w:hAnsi="Times New Roman" w:eastAsia="Times New Roman"/>
                <w:b w:val="0"/>
                <w:i w:val="0"/>
                <w:sz w:val="22"/>
              </w:rPr>
              <w:t>⭐⭐⭐⭐⭐</w:t>
            </w:r>
          </w:p>
        </w:tc>
      </w:tr>
      <w:tr>
        <w:tc>
          <w:tcPr>
            <w:tcW w:type="dxa" w:w="1643"/>
          </w:tcPr>
          <w:p>
            <w:r/>
            <w:r>
              <w:rPr>
                <w:rFonts w:ascii="Times New Roman" w:hAnsi="Times New Roman" w:eastAsia="Times New Roman"/>
                <w:b w:val="0"/>
                <w:i w:val="0"/>
                <w:sz w:val="22"/>
              </w:rPr>
              <w:t>Backup 1</w:t>
            </w:r>
          </w:p>
        </w:tc>
        <w:tc>
          <w:tcPr>
            <w:tcW w:type="dxa" w:w="1643"/>
          </w:tcPr>
          <w:p>
            <w:r/>
            <w:r>
              <w:rPr>
                <w:rFonts w:ascii="Times New Roman" w:hAnsi="Times New Roman" w:eastAsia="Times New Roman"/>
                <w:b w:val="0"/>
                <w:i w:val="0"/>
                <w:sz w:val="22"/>
              </w:rPr>
              <w:t>BMC Psychology</w:t>
            </w:r>
          </w:p>
        </w:tc>
        <w:tc>
          <w:tcPr>
            <w:tcW w:type="dxa" w:w="1643"/>
          </w:tcPr>
          <w:p>
            <w:r/>
            <w:r>
              <w:rPr>
                <w:rFonts w:ascii="Times New Roman" w:hAnsi="Times New Roman" w:eastAsia="Times New Roman"/>
                <w:b w:val="0"/>
                <w:i w:val="0"/>
                <w:sz w:val="22"/>
              </w:rPr>
              <w:t>3,40</w:t>
            </w:r>
          </w:p>
        </w:tc>
        <w:tc>
          <w:tcPr>
            <w:tcW w:type="dxa" w:w="1643"/>
          </w:tcPr>
          <w:p>
            <w:r/>
            <w:r>
              <w:rPr>
                <w:rFonts w:ascii="Times New Roman" w:hAnsi="Times New Roman" w:eastAsia="Times New Roman"/>
                <w:b w:val="0"/>
                <w:i w:val="0"/>
                <w:sz w:val="22"/>
              </w:rPr>
              <w:t>Q1 SJR — OA rẻ</w:t>
            </w:r>
          </w:p>
        </w:tc>
        <w:tc>
          <w:tcPr>
            <w:tcW w:type="dxa" w:w="1643"/>
          </w:tcPr>
          <w:p>
            <w:r/>
            <w:r>
              <w:rPr>
                <w:rFonts w:ascii="Times New Roman" w:hAnsi="Times New Roman" w:eastAsia="Times New Roman"/>
                <w:b w:val="0"/>
                <w:i w:val="0"/>
                <w:sz w:val="22"/>
              </w:rPr>
              <w:t>€1.390</w:t>
            </w:r>
          </w:p>
        </w:tc>
        <w:tc>
          <w:tcPr>
            <w:tcW w:type="dxa" w:w="1643"/>
          </w:tcPr>
          <w:p>
            <w:r/>
            <w:r>
              <w:rPr>
                <w:rFonts w:ascii="Times New Roman" w:hAnsi="Times New Roman" w:eastAsia="Times New Roman"/>
                <w:b w:val="0"/>
                <w:i w:val="0"/>
                <w:sz w:val="22"/>
              </w:rPr>
              <w:t>⭐⭐⭐⭐</w:t>
            </w:r>
          </w:p>
        </w:tc>
      </w:tr>
      <w:tr>
        <w:tc>
          <w:tcPr>
            <w:tcW w:type="dxa" w:w="1643"/>
          </w:tcPr>
          <w:p>
            <w:r/>
            <w:r>
              <w:rPr>
                <w:rFonts w:ascii="Times New Roman" w:hAnsi="Times New Roman" w:eastAsia="Times New Roman"/>
                <w:b w:val="0"/>
                <w:i w:val="0"/>
                <w:sz w:val="22"/>
              </w:rPr>
              <w:t>Backup 2</w:t>
            </w:r>
          </w:p>
        </w:tc>
        <w:tc>
          <w:tcPr>
            <w:tcW w:type="dxa" w:w="1643"/>
          </w:tcPr>
          <w:p>
            <w:r/>
            <w:r>
              <w:rPr>
                <w:rFonts w:ascii="Times New Roman" w:hAnsi="Times New Roman" w:eastAsia="Times New Roman"/>
                <w:b w:val="0"/>
                <w:i w:val="0"/>
                <w:sz w:val="22"/>
              </w:rPr>
              <w:t>Children and Youth Services Review</w:t>
            </w:r>
          </w:p>
        </w:tc>
        <w:tc>
          <w:tcPr>
            <w:tcW w:type="dxa" w:w="1643"/>
          </w:tcPr>
          <w:p>
            <w:r/>
            <w:r>
              <w:rPr>
                <w:rFonts w:ascii="Times New Roman" w:hAnsi="Times New Roman" w:eastAsia="Times New Roman"/>
                <w:b w:val="0"/>
                <w:i w:val="0"/>
                <w:sz w:val="22"/>
              </w:rPr>
              <w:t>2,14</w:t>
            </w:r>
          </w:p>
        </w:tc>
        <w:tc>
          <w:tcPr>
            <w:tcW w:type="dxa" w:w="1643"/>
          </w:tcPr>
          <w:p>
            <w:r/>
            <w:r>
              <w:rPr>
                <w:rFonts w:ascii="Times New Roman" w:hAnsi="Times New Roman" w:eastAsia="Times New Roman"/>
                <w:b w:val="0"/>
                <w:i w:val="0"/>
                <w:sz w:val="22"/>
              </w:rPr>
              <w:t>Q1 (policy lane)</w:t>
            </w:r>
          </w:p>
        </w:tc>
        <w:tc>
          <w:tcPr>
            <w:tcW w:type="dxa" w:w="1643"/>
          </w:tcPr>
          <w:p>
            <w:r/>
            <w:r>
              <w:rPr>
                <w:rFonts w:ascii="Times New Roman" w:hAnsi="Times New Roman" w:eastAsia="Times New Roman"/>
                <w:b w:val="0"/>
                <w:i w:val="0"/>
                <w:sz w:val="22"/>
              </w:rPr>
              <w:t>Subscription free</w:t>
            </w:r>
          </w:p>
        </w:tc>
        <w:tc>
          <w:tcPr>
            <w:tcW w:type="dxa" w:w="1643"/>
          </w:tcPr>
          <w:p>
            <w:r/>
            <w:r>
              <w:rPr>
                <w:rFonts w:ascii="Times New Roman" w:hAnsi="Times New Roman" w:eastAsia="Times New Roman"/>
                <w:b w:val="0"/>
                <w:i w:val="0"/>
                <w:sz w:val="22"/>
              </w:rPr>
              <w:t>⭐⭐⭐⭐</w:t>
            </w:r>
          </w:p>
        </w:tc>
      </w:tr>
    </w:tbl>
    <w:p>
      <w:pPr>
        <w:spacing w:before="60" w:after="60" w:line="276" w:lineRule="auto"/>
        <w:ind w:firstLine="283"/>
      </w:pPr>
      <w:r>
        <w:rPr>
          <w:rFonts w:ascii="Times New Roman" w:hAnsi="Times New Roman" w:eastAsia="Times New Roman"/>
          <w:b w:val="0"/>
          <w:i/>
          <w:color w:val="B04040"/>
          <w:sz w:val="22"/>
        </w:rPr>
        <w:t>⚠ Tránh: MDPI IJERPH (Clarivate delisted 2024); J Mental Health (T&amp;F hybrid mơ hồ).</w:t>
      </w:r>
    </w:p>
    <w:p>
      <w:pPr>
        <w:spacing w:before="160" w:after="60" w:line="276" w:lineRule="auto"/>
      </w:pPr>
      <w:r>
        <w:rPr>
          <w:rFonts w:ascii="Times New Roman" w:hAnsi="Times New Roman" w:eastAsia="Times New Roman"/>
          <w:b/>
          <w:i/>
          <w:sz w:val="24"/>
        </w:rPr>
        <w:t>Submission cascade strategy</w:t>
      </w:r>
    </w:p>
    <w:p>
      <w:pPr>
        <w:spacing w:before="60" w:after="60" w:line="276" w:lineRule="auto"/>
        <w:ind w:firstLine="283"/>
        <w:jc w:val="both"/>
      </w:pPr>
      <w:r>
        <w:rPr>
          <w:rFonts w:ascii="Times New Roman" w:hAnsi="Times New Roman" w:eastAsia="Times New Roman"/>
          <w:b w:val="0"/>
          <w:i w:val="0"/>
          <w:sz w:val="24"/>
        </w:rPr>
        <w:t>Tier 1 (Weeks 0-12): Submit Frontiers in Psychiatry → decision ~12 weeks.</w:t>
        <w:br/>
        <w:t>Tier 2 (Weeks 12-24): If reject, submit Asian Journal of Psychiatry (cultural fit) OR Child Psychiatry &amp; Human Development (Springer ecosystem).</w:t>
        <w:br/>
        <w:t>Tier 3 (Weeks 24-36): If both reject, BMC Psychology (OA rẻ) or Children and Youth Services Review.</w:t>
      </w:r>
    </w:p>
    <w:p>
      <w:pPr>
        <w:spacing w:before="280" w:after="120" w:line="276" w:lineRule="auto"/>
      </w:pPr>
      <w:r>
        <w:rPr>
          <w:rFonts w:ascii="Times New Roman" w:hAnsi="Times New Roman" w:eastAsia="Times New Roman"/>
          <w:b/>
          <w:i w:val="0"/>
          <w:color w:val="1F3A68"/>
          <w:sz w:val="28"/>
        </w:rPr>
        <w:t>2. Tên bài (Title) + Tóm tắt (Abstract) bilingual</w:t>
      </w:r>
    </w:p>
    <w:p>
      <w:pPr>
        <w:spacing w:before="200" w:after="80" w:line="276" w:lineRule="auto"/>
      </w:pPr>
      <w:r>
        <w:rPr>
          <w:rFonts w:ascii="Times New Roman" w:hAnsi="Times New Roman" w:eastAsia="Times New Roman"/>
          <w:b/>
          <w:i w:val="0"/>
          <w:color w:val="1F3A68"/>
          <w:sz w:val="26"/>
        </w:rPr>
        <w:t>2.1. English title (3 options)</w:t>
      </w:r>
    </w:p>
    <w:p>
      <w:pPr>
        <w:spacing w:before="60" w:after="60" w:line="276" w:lineRule="auto"/>
        <w:ind w:firstLine="283"/>
      </w:pPr>
      <w:r>
        <w:rPr>
          <w:rFonts w:ascii="Times New Roman" w:hAnsi="Times New Roman" w:eastAsia="Times New Roman"/>
          <w:b w:val="0"/>
          <w:i/>
          <w:sz w:val="24"/>
        </w:rPr>
        <w:t>Option 1: Differential pathways from school risk factors to anxiety disorder subtypes in Vietnamese junior secondary students: A structural equation modelling study revealing culture-specific mechanisms</w:t>
      </w:r>
    </w:p>
    <w:p>
      <w:pPr>
        <w:spacing w:before="60" w:after="60" w:line="276" w:lineRule="auto"/>
        <w:ind w:firstLine="283"/>
      </w:pPr>
      <w:r>
        <w:rPr>
          <w:rFonts w:ascii="Times New Roman" w:hAnsi="Times New Roman" w:eastAsia="Times New Roman"/>
          <w:b w:val="0"/>
          <w:i/>
          <w:sz w:val="24"/>
        </w:rPr>
        <w:t>Option 2: Culture-specific SEM pathways from school-based risk factors to anxiety subtypes in Vietnamese adolescents</w:t>
      </w:r>
    </w:p>
    <w:p>
      <w:pPr>
        <w:spacing w:before="60" w:after="60" w:line="276" w:lineRule="auto"/>
        <w:ind w:firstLine="283"/>
      </w:pPr>
      <w:r>
        <w:rPr>
          <w:rFonts w:ascii="Times New Roman" w:hAnsi="Times New Roman" w:eastAsia="Times New Roman"/>
          <w:b w:val="0"/>
          <w:i/>
          <w:sz w:val="24"/>
        </w:rPr>
        <w:t>Option 3: School bullying, parental support, and self-esteem as differential predictors of anxiety subtypes in 1,352 Vietnamese adolescents: An SEM analysis</w:t>
      </w:r>
    </w:p>
    <w:p>
      <w:pPr>
        <w:spacing w:before="200" w:after="80" w:line="276" w:lineRule="auto"/>
      </w:pPr>
      <w:r>
        <w:rPr>
          <w:rFonts w:ascii="Times New Roman" w:hAnsi="Times New Roman" w:eastAsia="Times New Roman"/>
          <w:b/>
          <w:i w:val="0"/>
          <w:color w:val="1F3A68"/>
          <w:sz w:val="26"/>
        </w:rPr>
        <w:t>2.2. Tên bài tiếng Việt (3 phương án)</w:t>
      </w:r>
    </w:p>
    <w:p>
      <w:pPr>
        <w:spacing w:before="60" w:after="60" w:line="276" w:lineRule="auto"/>
        <w:ind w:firstLine="283"/>
      </w:pPr>
      <w:r>
        <w:rPr>
          <w:rFonts w:ascii="Times New Roman" w:hAnsi="Times New Roman" w:eastAsia="Times New Roman"/>
          <w:b w:val="0"/>
          <w:i/>
          <w:sz w:val="24"/>
        </w:rPr>
        <w:t>Phương án 1: Đường dẫn khác biệt từ các yếu tố nguy cơ học đường đến các phân nhóm rối loạn lo âu ở học sinh trung học cơ sở Việt Nam: Phân tích mô hình cấu trúc cho thấy các cơ chế đặc thù văn hóa</w:t>
      </w:r>
    </w:p>
    <w:p>
      <w:pPr>
        <w:spacing w:before="60" w:after="60" w:line="276" w:lineRule="auto"/>
        <w:ind w:firstLine="283"/>
      </w:pPr>
      <w:r>
        <w:rPr>
          <w:rFonts w:ascii="Times New Roman" w:hAnsi="Times New Roman" w:eastAsia="Times New Roman"/>
          <w:b w:val="0"/>
          <w:i/>
          <w:sz w:val="24"/>
        </w:rPr>
        <w:t>Phương án 2: Các đường dẫn đặc thù văn hóa từ yếu tố nguy cơ học đường đến phân nhóm lo âu ở vị thành niên Việt Nam</w:t>
      </w:r>
    </w:p>
    <w:p>
      <w:pPr>
        <w:spacing w:before="60" w:after="60" w:line="276" w:lineRule="auto"/>
        <w:ind w:firstLine="283"/>
      </w:pPr>
      <w:r>
        <w:rPr>
          <w:rFonts w:ascii="Times New Roman" w:hAnsi="Times New Roman" w:eastAsia="Times New Roman"/>
          <w:b w:val="0"/>
          <w:i/>
          <w:sz w:val="24"/>
        </w:rPr>
        <w:t>Phương án 3: Bắt nạt học đường, hỗ trợ gia đình và lòng tự trọng như những yếu tố dự báo khác biệt cho các phân nhóm lo âu ở 1.352 học sinh Việt Nam: Một phân tích SEM</w:t>
      </w:r>
    </w:p>
    <w:p>
      <w:pPr>
        <w:spacing w:before="200" w:after="80" w:line="276" w:lineRule="auto"/>
      </w:pPr>
      <w:r>
        <w:rPr>
          <w:rFonts w:ascii="Times New Roman" w:hAnsi="Times New Roman" w:eastAsia="Times New Roman"/>
          <w:b/>
          <w:i w:val="0"/>
          <w:color w:val="1F3A68"/>
          <w:sz w:val="26"/>
        </w:rPr>
        <w:t>2.3. Abstract — English (~250 words)</w:t>
      </w:r>
    </w:p>
    <w:p>
      <w:pPr>
        <w:spacing w:before="60" w:after="60" w:line="276" w:lineRule="auto"/>
        <w:ind w:firstLine="283"/>
        <w:jc w:val="both"/>
      </w:pPr>
      <w:r>
        <w:rPr>
          <w:rFonts w:ascii="Times New Roman" w:hAnsi="Times New Roman" w:eastAsia="Times New Roman"/>
          <w:b w:val="0"/>
          <w:i w:val="0"/>
          <w:sz w:val="22"/>
        </w:rPr>
        <w:t>Background: Anxiety disorders are the most prevalent mental-health condition in adolescents globally, yet evidence on differential pathways from school-based risk factors to disorder subtypes remains scarce in Asian collectivist contexts. Objective: To test an integrated structural equation model linking academic pressure, smartphone addiction, school bullying, self-esteem, family/peer support, and coping style to generalised, social, and separation anxiety in Vietnamese junior secondary students. Methods: Cross-sectional survey of 1,352 students aged 11-15 from multiple schools. Measures included RCADS, ESSA, SAS-SV, Olweus Bully/Victim, Rosenberg Self-Esteem, MSPSS, and Brief-COPE, all previously validated in Vietnamese (Cong &amp; Dao, 2026). SEM was estimated with maximum likelihood; multi-group analyses by gender and grade level tested invariance. Results: The full model explained R² = 0.598 of variance. Three culturally distinctive findings emerged: (i) school bullying showed the strongest path to social anxiety (β = 0.376), opposite to the cross-disorder pattern of other factors; (ii) parental support showed no direct effect on social anxiety (β = 0.000), contrasting with Western evidence; (iii) self-esteem rivalled academic pressure in magnitude (|β| ratio 0.85-0.89). Conclusions: Pathways from school risk factors to anxiety subtypes are culturally heterogeneous, suggesting subtype-specific intervention design is warranted in Asian collectivist contexts.</w:t>
      </w:r>
    </w:p>
    <w:p>
      <w:pPr>
        <w:spacing w:before="60" w:after="60" w:line="276" w:lineRule="auto"/>
        <w:ind w:firstLine="283"/>
      </w:pPr>
      <w:r>
        <w:rPr>
          <w:rFonts w:ascii="Times New Roman" w:hAnsi="Times New Roman" w:eastAsia="Times New Roman"/>
          <w:b w:val="0"/>
          <w:i/>
          <w:sz w:val="22"/>
        </w:rPr>
        <w:t>Keywords: adolescent anxiety; structural equation modelling; cultural specificity; school bullying; Vietnamese students; subtype pathways</w:t>
      </w:r>
    </w:p>
    <w:p>
      <w:pPr>
        <w:spacing w:before="200" w:after="80" w:line="276" w:lineRule="auto"/>
      </w:pPr>
      <w:r>
        <w:rPr>
          <w:rFonts w:ascii="Times New Roman" w:hAnsi="Times New Roman" w:eastAsia="Times New Roman"/>
          <w:b/>
          <w:i w:val="0"/>
          <w:color w:val="1F3A68"/>
          <w:sz w:val="26"/>
        </w:rPr>
        <w:t>2.4. Tóm tắt tiếng Việt (~250 từ)</w:t>
      </w:r>
    </w:p>
    <w:p>
      <w:pPr>
        <w:spacing w:before="60" w:after="60" w:line="276" w:lineRule="auto"/>
        <w:ind w:firstLine="283"/>
        <w:jc w:val="both"/>
      </w:pPr>
      <w:r>
        <w:rPr>
          <w:rFonts w:ascii="Times New Roman" w:hAnsi="Times New Roman" w:eastAsia="Times New Roman"/>
          <w:b w:val="0"/>
          <w:i w:val="0"/>
          <w:sz w:val="22"/>
        </w:rPr>
        <w:t>Bối cảnh: Rối loạn lo âu là vấn đề sức khỏe tâm thần phổ biến nhất ở lứa tuổi vị thành niên trên toàn cầu, song bằng chứng về các đường dẫn khác biệt từ yếu tố nguy cơ học đường đến các phân nhóm rối loạn còn ít trong bối cảnh tập thể của Châu Á. Mục tiêu: Kiểm định mô hình cấu trúc tích hợp gắn áp lực học tập, nghiện điện thoại thông minh, bắt nạt học đường, lòng tự trọng, hỗ trợ gia đình – bạn bè, và phong cách đối phó với ba phân nhóm lo âu (tổng quát, xã hội, chia tách) ở học sinh trung học cơ sở Việt Nam. Phương pháp: Khảo sát cắt ngang 1.352 học sinh 11–15 tuổi tại nhiều trường. Bộ công cụ gồm RCADS, ESSA, SAS-SV, Olweus, Rosenberg, MSPSS và Brief-COPE đều đã được kiểm định tiếng Việt (Công &amp; Đào, 2026). Mô hình SEM với ước lượng maximum likelihood; phân tích đa nhóm theo giới và khối lớp kiểm tra bất biến đo lường. Kết quả: Mô hình đầy đủ giải thích R² = 0,598. Ba phát hiện đặc thù văn hóa: (i) bắt nạt học đường có đường dẫn mạnh nhất tới lo âu xã hội (β = 0,376), ngược với pattern của các yếu tố khác; (ii) hỗ trợ cha mẹ không có hiệu ứng trực tiếp tới lo âu xã hội (β = 0,000), trái với bằng chứng phương Tây; (iii) lòng tự trọng có cường độ ngang với áp lực học tập (tỷ số |β| 0,85-0,89). Kết luận: Đường dẫn từ yếu tố nguy cơ học đường đến phân nhóm lo âu không đồng nhất về văn hóa, cho thấy thiết kế can thiệp theo phân nhóm là cần thiết trong bối cảnh tập thể Châu Á.</w:t>
      </w:r>
    </w:p>
    <w:p>
      <w:pPr>
        <w:spacing w:before="60" w:after="60" w:line="276" w:lineRule="auto"/>
        <w:ind w:firstLine="283"/>
      </w:pPr>
      <w:r>
        <w:rPr>
          <w:rFonts w:ascii="Times New Roman" w:hAnsi="Times New Roman" w:eastAsia="Times New Roman"/>
          <w:b w:val="0"/>
          <w:i/>
          <w:sz w:val="22"/>
        </w:rPr>
        <w:t>Từ khóa: lo âu vị thành niên; mô hình cấu trúc tuyến tính; đặc thù văn hóa; bắt nạt học đường; học sinh Việt Nam; đường dẫn phân nhóm</w:t>
      </w:r>
    </w:p>
    <w:p>
      <w:pPr>
        <w:spacing w:before="280" w:after="120" w:line="276" w:lineRule="auto"/>
      </w:pPr>
      <w:r>
        <w:rPr>
          <w:rFonts w:ascii="Times New Roman" w:hAnsi="Times New Roman" w:eastAsia="Times New Roman"/>
          <w:b/>
          <w:i w:val="0"/>
          <w:color w:val="1F3A68"/>
          <w:sz w:val="28"/>
        </w:rPr>
        <w:t>3. Cấu trúc bài (4 mục chuẩn Frontiers/Springer) — body ~5.500 từ</w:t>
      </w:r>
    </w:p>
    <w:p>
      <w:pPr>
        <w:spacing w:before="200" w:after="80" w:line="276" w:lineRule="auto"/>
      </w:pPr>
      <w:r>
        <w:rPr>
          <w:rFonts w:ascii="Times New Roman" w:hAnsi="Times New Roman" w:eastAsia="Times New Roman"/>
          <w:b/>
          <w:i w:val="0"/>
          <w:color w:val="1F3A68"/>
          <w:sz w:val="26"/>
        </w:rPr>
        <w:t>§1. Introduction — Đặt vấn đề (~900 từ)</w:t>
      </w:r>
    </w:p>
    <w:tbl>
      <w:tblPr>
        <w:tblStyle w:val="LightGrid"/>
        <w:tblW w:type="auto" w:w="0"/>
        <w:tblLook w:firstColumn="1" w:firstRow="1" w:lastColumn="0" w:lastRow="0" w:noHBand="0" w:noVBand="1" w:val="04A0"/>
      </w:tblPr>
      <w:tblGrid>
        <w:gridCol w:w="3286"/>
        <w:gridCol w:w="3286"/>
        <w:gridCol w:w="3286"/>
      </w:tblGrid>
      <w:tr>
        <w:tc>
          <w:tcPr>
            <w:tcW w:type="dxa" w:w="3286"/>
          </w:tcPr>
          <w:p>
            <w:r/>
            <w:r>
              <w:rPr>
                <w:rFonts w:ascii="Times New Roman" w:hAnsi="Times New Roman" w:eastAsia="Times New Roman"/>
                <w:b/>
                <w:i w:val="0"/>
                <w:sz w:val="22"/>
              </w:rPr>
              <w:t>¶</w:t>
            </w:r>
          </w:p>
        </w:tc>
        <w:tc>
          <w:tcPr>
            <w:tcW w:type="dxa" w:w="3286"/>
          </w:tcPr>
          <w:p>
            <w:r/>
            <w:r>
              <w:rPr>
                <w:rFonts w:ascii="Times New Roman" w:hAnsi="Times New Roman" w:eastAsia="Times New Roman"/>
                <w:b/>
                <w:i w:val="0"/>
                <w:sz w:val="22"/>
              </w:rPr>
              <w:t>EN content</w:t>
            </w:r>
          </w:p>
        </w:tc>
        <w:tc>
          <w:tcPr>
            <w:tcW w:type="dxa" w:w="3286"/>
          </w:tcPr>
          <w:p>
            <w:r/>
            <w:r>
              <w:rPr>
                <w:rFonts w:ascii="Times New Roman" w:hAnsi="Times New Roman" w:eastAsia="Times New Roman"/>
                <w:b/>
                <w:i w:val="0"/>
                <w:sz w:val="22"/>
              </w:rPr>
              <w:t>VN content</w:t>
            </w:r>
          </w:p>
        </w:tc>
      </w:tr>
      <w:tr>
        <w:tc>
          <w:tcPr>
            <w:tcW w:type="dxa" w:w="3286"/>
          </w:tcPr>
          <w:p>
            <w:r/>
            <w:r>
              <w:rPr>
                <w:rFonts w:ascii="Times New Roman" w:hAnsi="Times New Roman" w:eastAsia="Times New Roman"/>
                <w:b w:val="0"/>
                <w:i w:val="0"/>
                <w:sz w:val="22"/>
              </w:rPr>
              <w:t>¶1 Global</w:t>
            </w:r>
          </w:p>
        </w:tc>
        <w:tc>
          <w:tcPr>
            <w:tcW w:type="dxa" w:w="3286"/>
          </w:tcPr>
          <w:p>
            <w:r/>
            <w:r>
              <w:rPr>
                <w:rFonts w:ascii="Times New Roman" w:hAnsi="Times New Roman" w:eastAsia="Times New Roman"/>
                <w:b w:val="0"/>
                <w:i w:val="0"/>
                <w:sz w:val="22"/>
              </w:rPr>
              <w:t>GBD 2021 trends; lifetime adolescent anxiety; subtype-specificity argument</w:t>
            </w:r>
          </w:p>
        </w:tc>
        <w:tc>
          <w:tcPr>
            <w:tcW w:type="dxa" w:w="3286"/>
          </w:tcPr>
          <w:p>
            <w:r/>
            <w:r>
              <w:rPr>
                <w:rFonts w:ascii="Times New Roman" w:hAnsi="Times New Roman" w:eastAsia="Times New Roman"/>
                <w:b w:val="0"/>
                <w:i w:val="0"/>
                <w:sz w:val="22"/>
              </w:rPr>
              <w:t>Gánh nặng toàn cầu; lập luận đặc thù phân nhóm</w:t>
            </w:r>
          </w:p>
        </w:tc>
      </w:tr>
      <w:tr>
        <w:tc>
          <w:tcPr>
            <w:tcW w:type="dxa" w:w="3286"/>
          </w:tcPr>
          <w:p>
            <w:r/>
            <w:r>
              <w:rPr>
                <w:rFonts w:ascii="Times New Roman" w:hAnsi="Times New Roman" w:eastAsia="Times New Roman"/>
                <w:b w:val="0"/>
                <w:i w:val="0"/>
                <w:sz w:val="22"/>
              </w:rPr>
              <w:t>¶2 Asian</w:t>
            </w:r>
          </w:p>
        </w:tc>
        <w:tc>
          <w:tcPr>
            <w:tcW w:type="dxa" w:w="3286"/>
          </w:tcPr>
          <w:p>
            <w:r/>
            <w:r>
              <w:rPr>
                <w:rFonts w:ascii="Times New Roman" w:hAnsi="Times New Roman" w:eastAsia="Times New Roman"/>
                <w:b w:val="0"/>
                <w:i w:val="0"/>
                <w:sz w:val="22"/>
              </w:rPr>
              <w:t>Asian academic pressure + Confucian filial piety; collectivist vs Western individualist</w:t>
            </w:r>
          </w:p>
        </w:tc>
        <w:tc>
          <w:tcPr>
            <w:tcW w:type="dxa" w:w="3286"/>
          </w:tcPr>
          <w:p>
            <w:r/>
            <w:r>
              <w:rPr>
                <w:rFonts w:ascii="Times New Roman" w:hAnsi="Times New Roman" w:eastAsia="Times New Roman"/>
                <w:b w:val="0"/>
                <w:i w:val="0"/>
                <w:sz w:val="22"/>
              </w:rPr>
              <w:t>Áp lực Á; gắn bó gia đình Á khác phương Tây</w:t>
            </w:r>
          </w:p>
        </w:tc>
      </w:tr>
      <w:tr>
        <w:tc>
          <w:tcPr>
            <w:tcW w:type="dxa" w:w="3286"/>
          </w:tcPr>
          <w:p>
            <w:r/>
            <w:r>
              <w:rPr>
                <w:rFonts w:ascii="Times New Roman" w:hAnsi="Times New Roman" w:eastAsia="Times New Roman"/>
                <w:b w:val="0"/>
                <w:i w:val="0"/>
                <w:sz w:val="22"/>
              </w:rPr>
              <w:t>¶3 Vietnam</w:t>
            </w:r>
          </w:p>
        </w:tc>
        <w:tc>
          <w:tcPr>
            <w:tcW w:type="dxa" w:w="3286"/>
          </w:tcPr>
          <w:p>
            <w:r/>
            <w:r>
              <w:rPr>
                <w:rFonts w:ascii="Times New Roman" w:hAnsi="Times New Roman" w:eastAsia="Times New Roman"/>
                <w:b w:val="0"/>
                <w:i w:val="0"/>
                <w:sz w:val="22"/>
              </w:rPr>
              <w:t>V-NAMHS 21.7%/2.3%; pathway gap (cite our prior reviews VJES)</w:t>
            </w:r>
          </w:p>
        </w:tc>
        <w:tc>
          <w:tcPr>
            <w:tcW w:type="dxa" w:w="3286"/>
          </w:tcPr>
          <w:p>
            <w:r/>
            <w:r>
              <w:rPr>
                <w:rFonts w:ascii="Times New Roman" w:hAnsi="Times New Roman" w:eastAsia="Times New Roman"/>
                <w:b w:val="0"/>
                <w:i w:val="0"/>
                <w:sz w:val="22"/>
              </w:rPr>
              <w:t>V-NAMHS + khoảng trống pathway</w:t>
            </w:r>
          </w:p>
        </w:tc>
      </w:tr>
      <w:tr>
        <w:tc>
          <w:tcPr>
            <w:tcW w:type="dxa" w:w="3286"/>
          </w:tcPr>
          <w:p>
            <w:r/>
            <w:r>
              <w:rPr>
                <w:rFonts w:ascii="Times New Roman" w:hAnsi="Times New Roman" w:eastAsia="Times New Roman"/>
                <w:b w:val="0"/>
                <w:i w:val="0"/>
                <w:sz w:val="22"/>
              </w:rPr>
              <w:t>¶4 Theory</w:t>
            </w:r>
          </w:p>
        </w:tc>
        <w:tc>
          <w:tcPr>
            <w:tcW w:type="dxa" w:w="3286"/>
          </w:tcPr>
          <w:p>
            <w:r/>
            <w:r>
              <w:rPr>
                <w:rFonts w:ascii="Times New Roman" w:hAnsi="Times New Roman" w:eastAsia="Times New Roman"/>
                <w:b w:val="0"/>
                <w:i w:val="0"/>
                <w:sz w:val="22"/>
              </w:rPr>
              <w:t>Beck CBT + Compas coping + Lazarus appraisal + cultural moderation</w:t>
            </w:r>
          </w:p>
        </w:tc>
        <w:tc>
          <w:tcPr>
            <w:tcW w:type="dxa" w:w="3286"/>
          </w:tcPr>
          <w:p>
            <w:r/>
            <w:r>
              <w:rPr>
                <w:rFonts w:ascii="Times New Roman" w:hAnsi="Times New Roman" w:eastAsia="Times New Roman"/>
                <w:b w:val="0"/>
                <w:i w:val="0"/>
                <w:sz w:val="22"/>
              </w:rPr>
              <w:t>Khung lý thuyết 3 trục + điều tiết văn hóa</w:t>
            </w:r>
          </w:p>
        </w:tc>
      </w:tr>
      <w:tr>
        <w:tc>
          <w:tcPr>
            <w:tcW w:type="dxa" w:w="3286"/>
          </w:tcPr>
          <w:p>
            <w:r/>
            <w:r>
              <w:rPr>
                <w:rFonts w:ascii="Times New Roman" w:hAnsi="Times New Roman" w:eastAsia="Times New Roman"/>
                <w:b w:val="0"/>
                <w:i w:val="0"/>
                <w:sz w:val="22"/>
              </w:rPr>
              <w:t>¶5 RQ + H</w:t>
            </w:r>
          </w:p>
        </w:tc>
        <w:tc>
          <w:tcPr>
            <w:tcW w:type="dxa" w:w="3286"/>
          </w:tcPr>
          <w:p>
            <w:r/>
            <w:r>
              <w:rPr>
                <w:rFonts w:ascii="Times New Roman" w:hAnsi="Times New Roman" w:eastAsia="Times New Roman"/>
                <w:b w:val="0"/>
                <w:i w:val="0"/>
                <w:sz w:val="22"/>
              </w:rPr>
              <w:t>H1-H4: pathway hypotheses + invariance hypotheses</w:t>
            </w:r>
          </w:p>
        </w:tc>
        <w:tc>
          <w:tcPr>
            <w:tcW w:type="dxa" w:w="3286"/>
          </w:tcPr>
          <w:p>
            <w:r/>
            <w:r>
              <w:rPr>
                <w:rFonts w:ascii="Times New Roman" w:hAnsi="Times New Roman" w:eastAsia="Times New Roman"/>
                <w:b w:val="0"/>
                <w:i w:val="0"/>
                <w:sz w:val="22"/>
              </w:rPr>
              <w:t>Câu hỏi NC + giả thuyết H1-H4</w:t>
            </w:r>
          </w:p>
        </w:tc>
      </w:tr>
    </w:tbl>
    <w:p>
      <w:pPr>
        <w:spacing w:before="200" w:after="80" w:line="276" w:lineRule="auto"/>
      </w:pPr>
      <w:r>
        <w:rPr>
          <w:rFonts w:ascii="Times New Roman" w:hAnsi="Times New Roman" w:eastAsia="Times New Roman"/>
          <w:b/>
          <w:i w:val="0"/>
          <w:color w:val="1F3A68"/>
          <w:sz w:val="26"/>
        </w:rPr>
        <w:t>§2. Methods — Phương pháp NC (~1.200 từ)</w:t>
      </w:r>
    </w:p>
    <w:tbl>
      <w:tblPr>
        <w:tblStyle w:val="LightGrid"/>
        <w:tblW w:type="auto" w:w="0"/>
        <w:tblLook w:firstColumn="1" w:firstRow="1" w:lastColumn="0" w:lastRow="0" w:noHBand="0" w:noVBand="1" w:val="04A0"/>
      </w:tblPr>
      <w:tblGrid>
        <w:gridCol w:w="3286"/>
        <w:gridCol w:w="3286"/>
        <w:gridCol w:w="3286"/>
      </w:tblGrid>
      <w:tr>
        <w:tc>
          <w:tcPr>
            <w:tcW w:type="dxa" w:w="3286"/>
          </w:tcPr>
          <w:p>
            <w:r/>
            <w:r>
              <w:rPr>
                <w:rFonts w:ascii="Times New Roman" w:hAnsi="Times New Roman" w:eastAsia="Times New Roman"/>
                <w:b/>
                <w:i w:val="0"/>
                <w:sz w:val="22"/>
              </w:rPr>
              <w:t>Mục</w:t>
            </w:r>
          </w:p>
        </w:tc>
        <w:tc>
          <w:tcPr>
            <w:tcW w:type="dxa" w:w="3286"/>
          </w:tcPr>
          <w:p>
            <w:r/>
            <w:r>
              <w:rPr>
                <w:rFonts w:ascii="Times New Roman" w:hAnsi="Times New Roman" w:eastAsia="Times New Roman"/>
                <w:b/>
                <w:i w:val="0"/>
                <w:sz w:val="22"/>
              </w:rPr>
              <w:t>EN</w:t>
            </w:r>
          </w:p>
        </w:tc>
        <w:tc>
          <w:tcPr>
            <w:tcW w:type="dxa" w:w="3286"/>
          </w:tcPr>
          <w:p>
            <w:r/>
            <w:r>
              <w:rPr>
                <w:rFonts w:ascii="Times New Roman" w:hAnsi="Times New Roman" w:eastAsia="Times New Roman"/>
                <w:b/>
                <w:i w:val="0"/>
                <w:sz w:val="22"/>
              </w:rPr>
              <w:t>VN</w:t>
            </w:r>
          </w:p>
        </w:tc>
      </w:tr>
      <w:tr>
        <w:tc>
          <w:tcPr>
            <w:tcW w:type="dxa" w:w="3286"/>
          </w:tcPr>
          <w:p>
            <w:r/>
            <w:r>
              <w:rPr>
                <w:rFonts w:ascii="Times New Roman" w:hAnsi="Times New Roman" w:eastAsia="Times New Roman"/>
                <w:b w:val="0"/>
                <w:i w:val="0"/>
                <w:sz w:val="22"/>
              </w:rPr>
              <w:t>2.1 Design</w:t>
            </w:r>
          </w:p>
        </w:tc>
        <w:tc>
          <w:tcPr>
            <w:tcW w:type="dxa" w:w="3286"/>
          </w:tcPr>
          <w:p>
            <w:r/>
            <w:r>
              <w:rPr>
                <w:rFonts w:ascii="Times New Roman" w:hAnsi="Times New Roman" w:eastAsia="Times New Roman"/>
                <w:b w:val="0"/>
                <w:i w:val="0"/>
                <w:sz w:val="22"/>
              </w:rPr>
              <w:t>Cross-sectional multi-school survey</w:t>
            </w:r>
          </w:p>
        </w:tc>
        <w:tc>
          <w:tcPr>
            <w:tcW w:type="dxa" w:w="3286"/>
          </w:tcPr>
          <w:p>
            <w:r/>
            <w:r>
              <w:rPr>
                <w:rFonts w:ascii="Times New Roman" w:hAnsi="Times New Roman" w:eastAsia="Times New Roman"/>
                <w:b w:val="0"/>
                <w:i w:val="0"/>
                <w:sz w:val="22"/>
              </w:rPr>
              <w:t>Cắt ngang đa trường</w:t>
            </w:r>
          </w:p>
        </w:tc>
      </w:tr>
      <w:tr>
        <w:tc>
          <w:tcPr>
            <w:tcW w:type="dxa" w:w="3286"/>
          </w:tcPr>
          <w:p>
            <w:r/>
            <w:r>
              <w:rPr>
                <w:rFonts w:ascii="Times New Roman" w:hAnsi="Times New Roman" w:eastAsia="Times New Roman"/>
                <w:b w:val="0"/>
                <w:i w:val="0"/>
                <w:sz w:val="22"/>
              </w:rPr>
              <w:t>2.2 Participants</w:t>
            </w:r>
          </w:p>
        </w:tc>
        <w:tc>
          <w:tcPr>
            <w:tcW w:type="dxa" w:w="3286"/>
          </w:tcPr>
          <w:p>
            <w:r/>
            <w:r>
              <w:rPr>
                <w:rFonts w:ascii="Times New Roman" w:hAnsi="Times New Roman" w:eastAsia="Times New Roman"/>
                <w:b w:val="0"/>
                <w:i w:val="0"/>
                <w:sz w:val="22"/>
              </w:rPr>
              <w:t>n=1,352 students 11-15; X regions; sampling frame</w:t>
            </w:r>
          </w:p>
        </w:tc>
        <w:tc>
          <w:tcPr>
            <w:tcW w:type="dxa" w:w="3286"/>
          </w:tcPr>
          <w:p>
            <w:r/>
            <w:r>
              <w:rPr>
                <w:rFonts w:ascii="Times New Roman" w:hAnsi="Times New Roman" w:eastAsia="Times New Roman"/>
                <w:b w:val="0"/>
                <w:i w:val="0"/>
                <w:sz w:val="22"/>
              </w:rPr>
              <w:t>Mẫu khảo sát + khung chọn mẫu</w:t>
            </w:r>
          </w:p>
        </w:tc>
      </w:tr>
      <w:tr>
        <w:tc>
          <w:tcPr>
            <w:tcW w:type="dxa" w:w="3286"/>
          </w:tcPr>
          <w:p>
            <w:r/>
            <w:r>
              <w:rPr>
                <w:rFonts w:ascii="Times New Roman" w:hAnsi="Times New Roman" w:eastAsia="Times New Roman"/>
                <w:b w:val="0"/>
                <w:i w:val="0"/>
                <w:sz w:val="22"/>
              </w:rPr>
              <w:t>2.3 Measures</w:t>
            </w:r>
          </w:p>
        </w:tc>
        <w:tc>
          <w:tcPr>
            <w:tcW w:type="dxa" w:w="3286"/>
          </w:tcPr>
          <w:p>
            <w:r/>
            <w:r>
              <w:rPr>
                <w:rFonts w:ascii="Times New Roman" w:hAnsi="Times New Roman" w:eastAsia="Times New Roman"/>
                <w:b w:val="0"/>
                <w:i w:val="0"/>
                <w:sz w:val="22"/>
              </w:rPr>
              <w:t>RCADS / ESSA / SAS-SV / Olweus / Rosenberg / MSPSS / Brief-COPE — α,ω from Cong &amp; Dao 2026</w:t>
            </w:r>
          </w:p>
        </w:tc>
        <w:tc>
          <w:tcPr>
            <w:tcW w:type="dxa" w:w="3286"/>
          </w:tcPr>
          <w:p>
            <w:r/>
            <w:r>
              <w:rPr>
                <w:rFonts w:ascii="Times New Roman" w:hAnsi="Times New Roman" w:eastAsia="Times New Roman"/>
                <w:b w:val="0"/>
                <w:i w:val="0"/>
                <w:sz w:val="22"/>
              </w:rPr>
              <w:t>Công cụ + độ tin cậy (cite Bài 1 validation)</w:t>
            </w:r>
          </w:p>
        </w:tc>
      </w:tr>
      <w:tr>
        <w:tc>
          <w:tcPr>
            <w:tcW w:type="dxa" w:w="3286"/>
          </w:tcPr>
          <w:p>
            <w:r/>
            <w:r>
              <w:rPr>
                <w:rFonts w:ascii="Times New Roman" w:hAnsi="Times New Roman" w:eastAsia="Times New Roman"/>
                <w:b w:val="0"/>
                <w:i w:val="0"/>
                <w:sz w:val="22"/>
              </w:rPr>
              <w:t>2.4 Procedure</w:t>
            </w:r>
          </w:p>
        </w:tc>
        <w:tc>
          <w:tcPr>
            <w:tcW w:type="dxa" w:w="3286"/>
          </w:tcPr>
          <w:p>
            <w:r/>
            <w:r>
              <w:rPr>
                <w:rFonts w:ascii="Times New Roman" w:hAnsi="Times New Roman" w:eastAsia="Times New Roman"/>
                <w:b w:val="0"/>
                <w:i w:val="0"/>
                <w:sz w:val="22"/>
              </w:rPr>
              <w:t>Translation/back-translation/expert review/pilot</w:t>
            </w:r>
          </w:p>
        </w:tc>
        <w:tc>
          <w:tcPr>
            <w:tcW w:type="dxa" w:w="3286"/>
          </w:tcPr>
          <w:p>
            <w:r/>
            <w:r>
              <w:rPr>
                <w:rFonts w:ascii="Times New Roman" w:hAnsi="Times New Roman" w:eastAsia="Times New Roman"/>
                <w:b w:val="0"/>
                <w:i w:val="0"/>
                <w:sz w:val="22"/>
              </w:rPr>
              <w:t>Quy trình thích nghi tiếng Việt</w:t>
            </w:r>
          </w:p>
        </w:tc>
      </w:tr>
      <w:tr>
        <w:tc>
          <w:tcPr>
            <w:tcW w:type="dxa" w:w="3286"/>
          </w:tcPr>
          <w:p>
            <w:r/>
            <w:r>
              <w:rPr>
                <w:rFonts w:ascii="Times New Roman" w:hAnsi="Times New Roman" w:eastAsia="Times New Roman"/>
                <w:b w:val="0"/>
                <w:i w:val="0"/>
                <w:sz w:val="22"/>
              </w:rPr>
              <w:t>2.5 SEM</w:t>
            </w:r>
          </w:p>
        </w:tc>
        <w:tc>
          <w:tcPr>
            <w:tcW w:type="dxa" w:w="3286"/>
          </w:tcPr>
          <w:p>
            <w:r/>
            <w:r>
              <w:rPr>
                <w:rFonts w:ascii="Times New Roman" w:hAnsi="Times New Roman" w:eastAsia="Times New Roman"/>
                <w:b w:val="0"/>
                <w:i w:val="0"/>
                <w:sz w:val="22"/>
              </w:rPr>
              <w:t>ML estimation; Hu-Bentler 1999 cutoffs (CFI/TLI≥.95, RMSEA≤.06, SRMR≤.08); bootstrap CI 5000; multi-group invariance</w:t>
            </w:r>
          </w:p>
        </w:tc>
        <w:tc>
          <w:tcPr>
            <w:tcW w:type="dxa" w:w="3286"/>
          </w:tcPr>
          <w:p>
            <w:r/>
            <w:r>
              <w:rPr>
                <w:rFonts w:ascii="Times New Roman" w:hAnsi="Times New Roman" w:eastAsia="Times New Roman"/>
                <w:b w:val="0"/>
                <w:i w:val="0"/>
                <w:sz w:val="22"/>
              </w:rPr>
              <w:t>Ước lượng ML + ngưỡng Hu-Bentler + bất biến đa nhóm</w:t>
            </w:r>
          </w:p>
        </w:tc>
      </w:tr>
      <w:tr>
        <w:tc>
          <w:tcPr>
            <w:tcW w:type="dxa" w:w="3286"/>
          </w:tcPr>
          <w:p>
            <w:r/>
            <w:r>
              <w:rPr>
                <w:rFonts w:ascii="Times New Roman" w:hAnsi="Times New Roman" w:eastAsia="Times New Roman"/>
                <w:b w:val="0"/>
                <w:i w:val="0"/>
                <w:sz w:val="22"/>
              </w:rPr>
              <w:t>2.6 Ethics</w:t>
            </w:r>
          </w:p>
        </w:tc>
        <w:tc>
          <w:tcPr>
            <w:tcW w:type="dxa" w:w="3286"/>
          </w:tcPr>
          <w:p>
            <w:r/>
            <w:r>
              <w:rPr>
                <w:rFonts w:ascii="Times New Roman" w:hAnsi="Times New Roman" w:eastAsia="Times New Roman"/>
                <w:b w:val="0"/>
                <w:i w:val="0"/>
                <w:sz w:val="22"/>
              </w:rPr>
              <w:t>IRB approval; informed consent; data anonymisation</w:t>
            </w:r>
          </w:p>
        </w:tc>
        <w:tc>
          <w:tcPr>
            <w:tcW w:type="dxa" w:w="3286"/>
          </w:tcPr>
          <w:p>
            <w:r/>
            <w:r>
              <w:rPr>
                <w:rFonts w:ascii="Times New Roman" w:hAnsi="Times New Roman" w:eastAsia="Times New Roman"/>
                <w:b w:val="0"/>
                <w:i w:val="0"/>
                <w:sz w:val="22"/>
              </w:rPr>
              <w:t>IRB phê duyệt + đồng thuận có hiểu biết</w:t>
            </w:r>
          </w:p>
        </w:tc>
      </w:tr>
      <w:tr>
        <w:tc>
          <w:tcPr>
            <w:tcW w:type="dxa" w:w="3286"/>
          </w:tcPr>
          <w:p>
            <w:r/>
            <w:r>
              <w:rPr>
                <w:rFonts w:ascii="Times New Roman" w:hAnsi="Times New Roman" w:eastAsia="Times New Roman"/>
                <w:b w:val="0"/>
                <w:i w:val="0"/>
                <w:sz w:val="22"/>
              </w:rPr>
              <w:t>2.7 AI declaration</w:t>
            </w:r>
          </w:p>
        </w:tc>
        <w:tc>
          <w:tcPr>
            <w:tcW w:type="dxa" w:w="3286"/>
          </w:tcPr>
          <w:p>
            <w:r/>
            <w:r>
              <w:rPr>
                <w:rFonts w:ascii="Times New Roman" w:hAnsi="Times New Roman" w:eastAsia="Times New Roman"/>
                <w:b w:val="0"/>
                <w:i w:val="0"/>
                <w:sz w:val="22"/>
              </w:rPr>
              <w:t>Authors used AI for English language polishing only; all analysis/interpretation by authors</w:t>
            </w:r>
          </w:p>
        </w:tc>
        <w:tc>
          <w:tcPr>
            <w:tcW w:type="dxa" w:w="3286"/>
          </w:tcPr>
          <w:p>
            <w:r/>
            <w:r>
              <w:rPr>
                <w:rFonts w:ascii="Times New Roman" w:hAnsi="Times New Roman" w:eastAsia="Times New Roman"/>
                <w:b w:val="0"/>
                <w:i w:val="0"/>
                <w:sz w:val="22"/>
              </w:rPr>
              <w:t>Khai báo AI per VJES + EU AI Act</w:t>
            </w:r>
          </w:p>
        </w:tc>
      </w:tr>
    </w:tbl>
    <w:p>
      <w:pPr>
        <w:spacing w:before="200" w:after="80" w:line="276" w:lineRule="auto"/>
      </w:pPr>
      <w:r>
        <w:rPr>
          <w:rFonts w:ascii="Times New Roman" w:hAnsi="Times New Roman" w:eastAsia="Times New Roman"/>
          <w:b/>
          <w:i w:val="0"/>
          <w:color w:val="1F3A68"/>
          <w:sz w:val="26"/>
        </w:rPr>
        <w:t>§3. Results — Kết quả (~1.500 từ)</w:t>
      </w:r>
    </w:p>
    <w:tbl>
      <w:tblPr>
        <w:tblStyle w:val="LightGrid"/>
        <w:tblW w:type="auto" w:w="0"/>
        <w:tblLook w:firstColumn="1" w:firstRow="1" w:lastColumn="0" w:lastRow="0" w:noHBand="0" w:noVBand="1" w:val="04A0"/>
      </w:tblPr>
      <w:tblGrid>
        <w:gridCol w:w="3286"/>
        <w:gridCol w:w="3286"/>
        <w:gridCol w:w="3286"/>
      </w:tblGrid>
      <w:tr>
        <w:tc>
          <w:tcPr>
            <w:tcW w:type="dxa" w:w="3286"/>
          </w:tcPr>
          <w:p>
            <w:r/>
            <w:r>
              <w:rPr>
                <w:rFonts w:ascii="Times New Roman" w:hAnsi="Times New Roman" w:eastAsia="Times New Roman"/>
                <w:b/>
                <w:i w:val="0"/>
                <w:sz w:val="22"/>
              </w:rPr>
              <w:t>Bảng/Hình</w:t>
            </w:r>
          </w:p>
        </w:tc>
        <w:tc>
          <w:tcPr>
            <w:tcW w:type="dxa" w:w="3286"/>
          </w:tcPr>
          <w:p>
            <w:r/>
            <w:r>
              <w:rPr>
                <w:rFonts w:ascii="Times New Roman" w:hAnsi="Times New Roman" w:eastAsia="Times New Roman"/>
                <w:b/>
                <w:i w:val="0"/>
                <w:sz w:val="22"/>
              </w:rPr>
              <w:t>Nội dung</w:t>
            </w:r>
          </w:p>
        </w:tc>
        <w:tc>
          <w:tcPr>
            <w:tcW w:type="dxa" w:w="3286"/>
          </w:tcPr>
          <w:p>
            <w:r/>
            <w:r>
              <w:rPr>
                <w:rFonts w:ascii="Times New Roman" w:hAnsi="Times New Roman" w:eastAsia="Times New Roman"/>
                <w:b/>
                <w:i w:val="0"/>
                <w:sz w:val="22"/>
              </w:rPr>
              <w:t>Tinh hoa core</w:t>
            </w:r>
          </w:p>
        </w:tc>
      </w:tr>
      <w:tr>
        <w:tc>
          <w:tcPr>
            <w:tcW w:type="dxa" w:w="3286"/>
          </w:tcPr>
          <w:p>
            <w:r/>
            <w:r>
              <w:rPr>
                <w:rFonts w:ascii="Times New Roman" w:hAnsi="Times New Roman" w:eastAsia="Times New Roman"/>
                <w:b w:val="0"/>
                <w:i w:val="0"/>
                <w:sz w:val="22"/>
              </w:rPr>
              <w:t>Bảng 1</w:t>
            </w:r>
          </w:p>
        </w:tc>
        <w:tc>
          <w:tcPr>
            <w:tcW w:type="dxa" w:w="3286"/>
          </w:tcPr>
          <w:p>
            <w:r/>
            <w:r>
              <w:rPr>
                <w:rFonts w:ascii="Times New Roman" w:hAnsi="Times New Roman" w:eastAsia="Times New Roman"/>
                <w:b w:val="0"/>
                <w:i w:val="0"/>
                <w:sz w:val="22"/>
              </w:rPr>
              <w:t>Demographics: age/gender/grade/region</w:t>
            </w:r>
          </w:p>
        </w:tc>
        <w:tc>
          <w:tcPr>
            <w:tcW w:type="dxa" w:w="3286"/>
          </w:tcPr>
          <w:p>
            <w:r/>
            <w:r>
              <w:rPr>
                <w:rFonts w:ascii="Times New Roman" w:hAnsi="Times New Roman" w:eastAsia="Times New Roman"/>
                <w:b w:val="0"/>
                <w:i w:val="0"/>
                <w:sz w:val="22"/>
              </w:rPr>
              <w:t>Mô tả mẫu</w:t>
            </w:r>
          </w:p>
        </w:tc>
      </w:tr>
      <w:tr>
        <w:tc>
          <w:tcPr>
            <w:tcW w:type="dxa" w:w="3286"/>
          </w:tcPr>
          <w:p>
            <w:r/>
            <w:r>
              <w:rPr>
                <w:rFonts w:ascii="Times New Roman" w:hAnsi="Times New Roman" w:eastAsia="Times New Roman"/>
                <w:b w:val="0"/>
                <w:i w:val="0"/>
                <w:sz w:val="22"/>
              </w:rPr>
              <w:t>Bảng 2</w:t>
            </w:r>
          </w:p>
        </w:tc>
        <w:tc>
          <w:tcPr>
            <w:tcW w:type="dxa" w:w="3286"/>
          </w:tcPr>
          <w:p>
            <w:r/>
            <w:r>
              <w:rPr>
                <w:rFonts w:ascii="Times New Roman" w:hAnsi="Times New Roman" w:eastAsia="Times New Roman"/>
                <w:b w:val="0"/>
                <w:i w:val="0"/>
                <w:sz w:val="22"/>
              </w:rPr>
              <w:t>Measurement model: CFA fit + factor loadings</w:t>
            </w:r>
          </w:p>
        </w:tc>
        <w:tc>
          <w:tcPr>
            <w:tcW w:type="dxa" w:w="3286"/>
          </w:tcPr>
          <w:p>
            <w:r/>
            <w:r>
              <w:rPr>
                <w:rFonts w:ascii="Times New Roman" w:hAnsi="Times New Roman" w:eastAsia="Times New Roman"/>
                <w:b w:val="0"/>
                <w:i w:val="0"/>
                <w:sz w:val="22"/>
              </w:rPr>
              <w:t>CFI/TLI/RMSEA/SRMR</w:t>
            </w:r>
          </w:p>
        </w:tc>
      </w:tr>
      <w:tr>
        <w:tc>
          <w:tcPr>
            <w:tcW w:type="dxa" w:w="3286"/>
          </w:tcPr>
          <w:p>
            <w:r/>
            <w:r>
              <w:rPr>
                <w:rFonts w:ascii="Times New Roman" w:hAnsi="Times New Roman" w:eastAsia="Times New Roman"/>
                <w:b w:val="0"/>
                <w:i w:val="0"/>
                <w:sz w:val="22"/>
              </w:rPr>
              <w:t>Bảng 3</w:t>
            </w:r>
          </w:p>
        </w:tc>
        <w:tc>
          <w:tcPr>
            <w:tcW w:type="dxa" w:w="3286"/>
          </w:tcPr>
          <w:p>
            <w:r/>
            <w:r>
              <w:rPr>
                <w:rFonts w:ascii="Times New Roman" w:hAnsi="Times New Roman" w:eastAsia="Times New Roman"/>
                <w:b w:val="0"/>
                <w:i w:val="0"/>
                <w:sz w:val="22"/>
              </w:rPr>
              <w:t>Standardised β (95% CI bootstrap) — 8 paths × 3 outcomes</w:t>
            </w:r>
          </w:p>
        </w:tc>
        <w:tc>
          <w:tcPr>
            <w:tcW w:type="dxa" w:w="3286"/>
          </w:tcPr>
          <w:p>
            <w:r/>
            <w:r>
              <w:rPr>
                <w:rFonts w:ascii="Times New Roman" w:hAnsi="Times New Roman" w:eastAsia="Times New Roman"/>
                <w:b w:val="0"/>
                <w:i w:val="0"/>
                <w:sz w:val="22"/>
              </w:rPr>
              <w:t>β BNHĐ→RLLAC=0,376; β HTCM→RLLAC=0,000; β BPĐP=0,749</w:t>
            </w:r>
          </w:p>
        </w:tc>
      </w:tr>
      <w:tr>
        <w:tc>
          <w:tcPr>
            <w:tcW w:type="dxa" w:w="3286"/>
          </w:tcPr>
          <w:p>
            <w:r/>
            <w:r>
              <w:rPr>
                <w:rFonts w:ascii="Times New Roman" w:hAnsi="Times New Roman" w:eastAsia="Times New Roman"/>
                <w:b w:val="0"/>
                <w:i w:val="0"/>
                <w:sz w:val="22"/>
              </w:rPr>
              <w:t>Hình 1</w:t>
            </w:r>
          </w:p>
        </w:tc>
        <w:tc>
          <w:tcPr>
            <w:tcW w:type="dxa" w:w="3286"/>
          </w:tcPr>
          <w:p>
            <w:r/>
            <w:r>
              <w:rPr>
                <w:rFonts w:ascii="Times New Roman" w:hAnsi="Times New Roman" w:eastAsia="Times New Roman"/>
                <w:b w:val="0"/>
                <w:i w:val="0"/>
                <w:sz w:val="22"/>
              </w:rPr>
              <w:t>Full SEM diagram with β + p-values</w:t>
            </w:r>
          </w:p>
        </w:tc>
        <w:tc>
          <w:tcPr>
            <w:tcW w:type="dxa" w:w="3286"/>
          </w:tcPr>
          <w:p>
            <w:r/>
            <w:r>
              <w:rPr>
                <w:rFonts w:ascii="Times New Roman" w:hAnsi="Times New Roman" w:eastAsia="Times New Roman"/>
                <w:b w:val="0"/>
                <w:i w:val="0"/>
                <w:sz w:val="22"/>
              </w:rPr>
              <w:t>Visual mô hình tích hợp</w:t>
            </w:r>
          </w:p>
        </w:tc>
      </w:tr>
      <w:tr>
        <w:tc>
          <w:tcPr>
            <w:tcW w:type="dxa" w:w="3286"/>
          </w:tcPr>
          <w:p>
            <w:r/>
            <w:r>
              <w:rPr>
                <w:rFonts w:ascii="Times New Roman" w:hAnsi="Times New Roman" w:eastAsia="Times New Roman"/>
                <w:b w:val="0"/>
                <w:i w:val="0"/>
                <w:sz w:val="22"/>
              </w:rPr>
              <w:t>Bảng 4</w:t>
            </w:r>
          </w:p>
        </w:tc>
        <w:tc>
          <w:tcPr>
            <w:tcW w:type="dxa" w:w="3286"/>
          </w:tcPr>
          <w:p>
            <w:r/>
            <w:r>
              <w:rPr>
                <w:rFonts w:ascii="Times New Roman" w:hAnsi="Times New Roman" w:eastAsia="Times New Roman"/>
                <w:b w:val="0"/>
                <w:i w:val="0"/>
                <w:sz w:val="22"/>
              </w:rPr>
              <w:t>Multi-group invariance (gender × age)</w:t>
            </w:r>
          </w:p>
        </w:tc>
        <w:tc>
          <w:tcPr>
            <w:tcW w:type="dxa" w:w="3286"/>
          </w:tcPr>
          <w:p>
            <w:r/>
            <w:r>
              <w:rPr>
                <w:rFonts w:ascii="Times New Roman" w:hAnsi="Times New Roman" w:eastAsia="Times New Roman"/>
                <w:b w:val="0"/>
                <w:i w:val="0"/>
                <w:sz w:val="22"/>
              </w:rPr>
              <w:t>Pattern ba tầng giới</w:t>
            </w:r>
          </w:p>
        </w:tc>
      </w:tr>
      <w:tr>
        <w:tc>
          <w:tcPr>
            <w:tcW w:type="dxa" w:w="3286"/>
          </w:tcPr>
          <w:p>
            <w:r/>
            <w:r>
              <w:rPr>
                <w:rFonts w:ascii="Times New Roman" w:hAnsi="Times New Roman" w:eastAsia="Times New Roman"/>
                <w:b w:val="0"/>
                <w:i w:val="0"/>
                <w:sz w:val="22"/>
              </w:rPr>
              <w:t>Bảng 5</w:t>
            </w:r>
          </w:p>
        </w:tc>
        <w:tc>
          <w:tcPr>
            <w:tcW w:type="dxa" w:w="3286"/>
          </w:tcPr>
          <w:p>
            <w:r/>
            <w:r>
              <w:rPr>
                <w:rFonts w:ascii="Times New Roman" w:hAnsi="Times New Roman" w:eastAsia="Times New Roman"/>
                <w:b w:val="0"/>
                <w:i w:val="0"/>
                <w:sz w:val="22"/>
              </w:rPr>
              <w:t>Mediation analysis (TTr as mediator; BNHĐ→TTr→RLLAC)</w:t>
            </w:r>
          </w:p>
        </w:tc>
        <w:tc>
          <w:tcPr>
            <w:tcW w:type="dxa" w:w="3286"/>
          </w:tcPr>
          <w:p>
            <w:r/>
            <w:r>
              <w:rPr>
                <w:rFonts w:ascii="Times New Roman" w:hAnsi="Times New Roman" w:eastAsia="Times New Roman"/>
                <w:b w:val="0"/>
                <w:i w:val="0"/>
                <w:sz w:val="22"/>
              </w:rPr>
              <w:t>Cơ chế trung gian</w:t>
            </w:r>
          </w:p>
        </w:tc>
      </w:tr>
      <w:tr>
        <w:tc>
          <w:tcPr>
            <w:tcW w:type="dxa" w:w="3286"/>
          </w:tcPr>
          <w:p>
            <w:r/>
            <w:r>
              <w:rPr>
                <w:rFonts w:ascii="Times New Roman" w:hAnsi="Times New Roman" w:eastAsia="Times New Roman"/>
                <w:b w:val="0"/>
                <w:i w:val="0"/>
                <w:sz w:val="22"/>
              </w:rPr>
              <w:t>Hình 2</w:t>
            </w:r>
          </w:p>
        </w:tc>
        <w:tc>
          <w:tcPr>
            <w:tcW w:type="dxa" w:w="3286"/>
          </w:tcPr>
          <w:p>
            <w:r/>
            <w:r>
              <w:rPr>
                <w:rFonts w:ascii="Times New Roman" w:hAnsi="Times New Roman" w:eastAsia="Times New Roman"/>
                <w:b w:val="0"/>
                <w:i w:val="0"/>
                <w:sz w:val="22"/>
              </w:rPr>
              <w:t>Forest plot |β| ratios per outcome</w:t>
            </w:r>
          </w:p>
        </w:tc>
        <w:tc>
          <w:tcPr>
            <w:tcW w:type="dxa" w:w="3286"/>
          </w:tcPr>
          <w:p>
            <w:r/>
            <w:r>
              <w:rPr>
                <w:rFonts w:ascii="Times New Roman" w:hAnsi="Times New Roman" w:eastAsia="Times New Roman"/>
                <w:b w:val="0"/>
                <w:i w:val="0"/>
                <w:sz w:val="22"/>
              </w:rPr>
              <w:t>|β TTr|/|β ALHT|=0,85-0,89</w:t>
            </w:r>
          </w:p>
        </w:tc>
      </w:tr>
    </w:tbl>
    <w:p>
      <w:pPr>
        <w:spacing w:before="160" w:after="60" w:line="276" w:lineRule="auto"/>
      </w:pPr>
      <w:r>
        <w:rPr>
          <w:rFonts w:ascii="Times New Roman" w:hAnsi="Times New Roman" w:eastAsia="Times New Roman"/>
          <w:b/>
          <w:i/>
          <w:sz w:val="24"/>
        </w:rPr>
        <w:t>Six key empirical findings (NEW — chưa công bố):</w:t>
      </w:r>
    </w:p>
    <w:p>
      <w:pPr>
        <w:spacing w:before="60" w:after="60" w:line="276" w:lineRule="auto"/>
        <w:ind w:firstLine="170"/>
      </w:pPr>
      <w:r>
        <w:rPr>
          <w:rFonts w:ascii="Times New Roman" w:hAnsi="Times New Roman" w:eastAsia="Times New Roman"/>
          <w:b/>
          <w:i w:val="0"/>
          <w:sz w:val="24"/>
        </w:rPr>
        <w:t xml:space="preserve">   • Bullying → Social anxiety</w:t>
      </w:r>
    </w:p>
    <w:p>
      <w:pPr>
        <w:spacing w:before="60" w:after="60" w:line="276" w:lineRule="auto"/>
        <w:ind w:firstLine="340"/>
      </w:pPr>
      <w:r>
        <w:rPr>
          <w:rFonts w:ascii="Times New Roman" w:hAnsi="Times New Roman" w:eastAsia="Times New Roman"/>
          <w:b w:val="0"/>
          <w:i w:val="0"/>
          <w:sz w:val="22"/>
        </w:rPr>
        <w:t xml:space="preserve">      EN: Strongest pathway in entire model (β=0.376); opposite to other risk factors</w:t>
      </w:r>
    </w:p>
    <w:p>
      <w:pPr>
        <w:spacing w:before="60" w:after="60" w:line="276" w:lineRule="auto"/>
        <w:ind w:firstLine="340"/>
      </w:pPr>
      <w:r>
        <w:rPr>
          <w:rFonts w:ascii="Times New Roman" w:hAnsi="Times New Roman" w:eastAsia="Times New Roman"/>
          <w:b w:val="0"/>
          <w:i/>
          <w:sz w:val="22"/>
        </w:rPr>
        <w:t xml:space="preserve">      VN: Đường mạnh nhất; trái pattern các yếu tố khác — cơ chế school refusal</w:t>
      </w:r>
    </w:p>
    <w:p>
      <w:pPr>
        <w:spacing w:before="60" w:after="60" w:line="276" w:lineRule="auto"/>
        <w:ind w:firstLine="170"/>
      </w:pPr>
      <w:r>
        <w:rPr>
          <w:rFonts w:ascii="Times New Roman" w:hAnsi="Times New Roman" w:eastAsia="Times New Roman"/>
          <w:b/>
          <w:i w:val="0"/>
          <w:sz w:val="24"/>
        </w:rPr>
        <w:t xml:space="preserve">   • Parental support → Social anxiety</w:t>
      </w:r>
    </w:p>
    <w:p>
      <w:pPr>
        <w:spacing w:before="60" w:after="60" w:line="276" w:lineRule="auto"/>
        <w:ind w:firstLine="340"/>
      </w:pPr>
      <w:r>
        <w:rPr>
          <w:rFonts w:ascii="Times New Roman" w:hAnsi="Times New Roman" w:eastAsia="Times New Roman"/>
          <w:b w:val="0"/>
          <w:i w:val="0"/>
          <w:sz w:val="22"/>
        </w:rPr>
        <w:t xml:space="preserve">      EN: Null direct effect (β=0.000); contrasts Western literature where parental support always negative</w:t>
      </w:r>
    </w:p>
    <w:p>
      <w:pPr>
        <w:spacing w:before="60" w:after="60" w:line="276" w:lineRule="auto"/>
        <w:ind w:firstLine="340"/>
      </w:pPr>
      <w:r>
        <w:rPr>
          <w:rFonts w:ascii="Times New Roman" w:hAnsi="Times New Roman" w:eastAsia="Times New Roman"/>
          <w:b w:val="0"/>
          <w:i/>
          <w:sz w:val="22"/>
        </w:rPr>
        <w:t xml:space="preserve">      VN: Không có hiệu ứng trực tiếp; trái y văn phương Tây</w:t>
      </w:r>
    </w:p>
    <w:p>
      <w:pPr>
        <w:spacing w:before="60" w:after="60" w:line="276" w:lineRule="auto"/>
        <w:ind w:firstLine="170"/>
      </w:pPr>
      <w:r>
        <w:rPr>
          <w:rFonts w:ascii="Times New Roman" w:hAnsi="Times New Roman" w:eastAsia="Times New Roman"/>
          <w:b/>
          <w:i w:val="0"/>
          <w:sz w:val="24"/>
        </w:rPr>
        <w:t xml:space="preserve">   • Peer support — minimal effect</w:t>
      </w:r>
    </w:p>
    <w:p>
      <w:pPr>
        <w:spacing w:before="60" w:after="60" w:line="276" w:lineRule="auto"/>
        <w:ind w:firstLine="340"/>
      </w:pPr>
      <w:r>
        <w:rPr>
          <w:rFonts w:ascii="Times New Roman" w:hAnsi="Times New Roman" w:eastAsia="Times New Roman"/>
          <w:b w:val="0"/>
          <w:i w:val="0"/>
          <w:sz w:val="22"/>
        </w:rPr>
        <w:t xml:space="preserve">      EN: Surprising for Western adolescent literature where peer support is protective</w:t>
      </w:r>
    </w:p>
    <w:p>
      <w:pPr>
        <w:spacing w:before="60" w:after="60" w:line="276" w:lineRule="auto"/>
        <w:ind w:firstLine="340"/>
      </w:pPr>
      <w:r>
        <w:rPr>
          <w:rFonts w:ascii="Times New Roman" w:hAnsi="Times New Roman" w:eastAsia="Times New Roman"/>
          <w:b w:val="0"/>
          <w:i/>
          <w:sz w:val="22"/>
        </w:rPr>
        <w:t xml:space="preserve">      VN: Tác động tối thiểu; trái pattern phương Tây</w:t>
      </w:r>
    </w:p>
    <w:p>
      <w:pPr>
        <w:spacing w:before="60" w:after="60" w:line="276" w:lineRule="auto"/>
        <w:ind w:firstLine="170"/>
      </w:pPr>
      <w:r>
        <w:rPr>
          <w:rFonts w:ascii="Times New Roman" w:hAnsi="Times New Roman" w:eastAsia="Times New Roman"/>
          <w:b/>
          <w:i w:val="0"/>
          <w:sz w:val="24"/>
        </w:rPr>
        <w:t xml:space="preserve">   • Maladaptive coping β=0.749 but poor fit</w:t>
      </w:r>
    </w:p>
    <w:p>
      <w:pPr>
        <w:spacing w:before="60" w:after="60" w:line="276" w:lineRule="auto"/>
        <w:ind w:firstLine="340"/>
      </w:pPr>
      <w:r>
        <w:rPr>
          <w:rFonts w:ascii="Times New Roman" w:hAnsi="Times New Roman" w:eastAsia="Times New Roman"/>
          <w:b w:val="0"/>
          <w:i w:val="0"/>
          <w:sz w:val="22"/>
        </w:rPr>
        <w:t xml:space="preserve">      EN: Suggests reciprocal causation per Compas 2017 escalation framework</w:t>
      </w:r>
    </w:p>
    <w:p>
      <w:pPr>
        <w:spacing w:before="60" w:after="60" w:line="276" w:lineRule="auto"/>
        <w:ind w:firstLine="340"/>
      </w:pPr>
      <w:r>
        <w:rPr>
          <w:rFonts w:ascii="Times New Roman" w:hAnsi="Times New Roman" w:eastAsia="Times New Roman"/>
          <w:b w:val="0"/>
          <w:i/>
          <w:sz w:val="22"/>
        </w:rPr>
        <w:t xml:space="preserve">      VN: β rất lớn nhưng fit kém — gợi ý quan hệ hai chiều theo Compas</w:t>
      </w:r>
    </w:p>
    <w:p>
      <w:pPr>
        <w:spacing w:before="60" w:after="60" w:line="276" w:lineRule="auto"/>
        <w:ind w:firstLine="170"/>
      </w:pPr>
      <w:r>
        <w:rPr>
          <w:rFonts w:ascii="Times New Roman" w:hAnsi="Times New Roman" w:eastAsia="Times New Roman"/>
          <w:b/>
          <w:i w:val="0"/>
          <w:sz w:val="24"/>
        </w:rPr>
        <w:t xml:space="preserve">   • Self-esteem ~ academic pressure</w:t>
      </w:r>
    </w:p>
    <w:p>
      <w:pPr>
        <w:spacing w:before="60" w:after="60" w:line="276" w:lineRule="auto"/>
        <w:ind w:firstLine="340"/>
      </w:pPr>
      <w:r>
        <w:rPr>
          <w:rFonts w:ascii="Times New Roman" w:hAnsi="Times New Roman" w:eastAsia="Times New Roman"/>
          <w:b w:val="0"/>
          <w:i w:val="0"/>
          <w:sz w:val="22"/>
        </w:rPr>
        <w:t xml:space="preserve">      EN: |β| ratio 0.85-0.89; suggests Vietnamese collectivism amplifies Sowislo-Orth effect</w:t>
      </w:r>
    </w:p>
    <w:p>
      <w:pPr>
        <w:spacing w:before="60" w:after="60" w:line="276" w:lineRule="auto"/>
        <w:ind w:firstLine="340"/>
      </w:pPr>
      <w:r>
        <w:rPr>
          <w:rFonts w:ascii="Times New Roman" w:hAnsi="Times New Roman" w:eastAsia="Times New Roman"/>
          <w:b w:val="0"/>
          <w:i/>
          <w:sz w:val="22"/>
        </w:rPr>
        <w:t xml:space="preserve">      VN: Tự trọng cường độ ngang áp lực học tập — văn hóa Á khuếch đại</w:t>
      </w:r>
    </w:p>
    <w:p>
      <w:pPr>
        <w:spacing w:before="60" w:after="60" w:line="276" w:lineRule="auto"/>
        <w:ind w:firstLine="170"/>
      </w:pPr>
      <w:r>
        <w:rPr>
          <w:rFonts w:ascii="Times New Roman" w:hAnsi="Times New Roman" w:eastAsia="Times New Roman"/>
          <w:b/>
          <w:i w:val="0"/>
          <w:sz w:val="24"/>
        </w:rPr>
        <w:t xml:space="preserve">   • Gender three-tier pattern</w:t>
      </w:r>
    </w:p>
    <w:p>
      <w:pPr>
        <w:spacing w:before="60" w:after="60" w:line="276" w:lineRule="auto"/>
        <w:ind w:firstLine="340"/>
      </w:pPr>
      <w:r>
        <w:rPr>
          <w:rFonts w:ascii="Times New Roman" w:hAnsi="Times New Roman" w:eastAsia="Times New Roman"/>
          <w:b w:val="0"/>
          <w:i w:val="0"/>
          <w:sz w:val="22"/>
        </w:rPr>
        <w:t xml:space="preserve">      EN: GAD+SAD significant (d~0.37); Separation anxiety null (d~0.03)</w:t>
      </w:r>
    </w:p>
    <w:p>
      <w:pPr>
        <w:spacing w:before="60" w:after="60" w:line="276" w:lineRule="auto"/>
        <w:ind w:firstLine="340"/>
      </w:pPr>
      <w:r>
        <w:rPr>
          <w:rFonts w:ascii="Times New Roman" w:hAnsi="Times New Roman" w:eastAsia="Times New Roman"/>
          <w:b w:val="0"/>
          <w:i/>
          <w:sz w:val="22"/>
        </w:rPr>
        <w:t xml:space="preserve">      VN: Pattern ba tầng giới: TQ+XH chênh; CL không</w:t>
      </w:r>
    </w:p>
    <w:p>
      <w:pPr>
        <w:spacing w:before="200" w:after="80" w:line="276" w:lineRule="auto"/>
      </w:pPr>
      <w:r>
        <w:rPr>
          <w:rFonts w:ascii="Times New Roman" w:hAnsi="Times New Roman" w:eastAsia="Times New Roman"/>
          <w:b/>
          <w:i w:val="0"/>
          <w:color w:val="1F3A68"/>
          <w:sz w:val="26"/>
        </w:rPr>
        <w:t>§4. Discussion — Bàn luận (~1.300 từ)</w:t>
      </w:r>
    </w:p>
    <w:tbl>
      <w:tblPr>
        <w:tblStyle w:val="LightGrid"/>
        <w:tblW w:type="auto" w:w="0"/>
        <w:tblLook w:firstColumn="1" w:firstRow="1" w:lastColumn="0" w:lastRow="0" w:noHBand="0" w:noVBand="1" w:val="04A0"/>
      </w:tblPr>
      <w:tblGrid>
        <w:gridCol w:w="3286"/>
        <w:gridCol w:w="3286"/>
        <w:gridCol w:w="3286"/>
      </w:tblGrid>
      <w:tr>
        <w:tc>
          <w:tcPr>
            <w:tcW w:type="dxa" w:w="3286"/>
          </w:tcPr>
          <w:p>
            <w:r/>
            <w:r>
              <w:rPr>
                <w:rFonts w:ascii="Times New Roman" w:hAnsi="Times New Roman" w:eastAsia="Times New Roman"/>
                <w:b/>
                <w:i w:val="0"/>
                <w:sz w:val="22"/>
              </w:rPr>
              <w:t>Sub</w:t>
            </w:r>
          </w:p>
        </w:tc>
        <w:tc>
          <w:tcPr>
            <w:tcW w:type="dxa" w:w="3286"/>
          </w:tcPr>
          <w:p>
            <w:r/>
            <w:r>
              <w:rPr>
                <w:rFonts w:ascii="Times New Roman" w:hAnsi="Times New Roman" w:eastAsia="Times New Roman"/>
                <w:b/>
                <w:i w:val="0"/>
                <w:sz w:val="22"/>
              </w:rPr>
              <w:t>EN focus</w:t>
            </w:r>
          </w:p>
        </w:tc>
        <w:tc>
          <w:tcPr>
            <w:tcW w:type="dxa" w:w="3286"/>
          </w:tcPr>
          <w:p>
            <w:r/>
            <w:r>
              <w:rPr>
                <w:rFonts w:ascii="Times New Roman" w:hAnsi="Times New Roman" w:eastAsia="Times New Roman"/>
                <w:b/>
                <w:i w:val="0"/>
                <w:sz w:val="22"/>
              </w:rPr>
              <w:t>VN focus</w:t>
            </w:r>
          </w:p>
        </w:tc>
      </w:tr>
      <w:tr>
        <w:tc>
          <w:tcPr>
            <w:tcW w:type="dxa" w:w="3286"/>
          </w:tcPr>
          <w:p>
            <w:r/>
            <w:r>
              <w:rPr>
                <w:rFonts w:ascii="Times New Roman" w:hAnsi="Times New Roman" w:eastAsia="Times New Roman"/>
                <w:b w:val="0"/>
                <w:i w:val="0"/>
                <w:sz w:val="22"/>
              </w:rPr>
              <w:t>4.1</w:t>
            </w:r>
          </w:p>
        </w:tc>
        <w:tc>
          <w:tcPr>
            <w:tcW w:type="dxa" w:w="3286"/>
          </w:tcPr>
          <w:p>
            <w:r/>
            <w:r>
              <w:rPr>
                <w:rFonts w:ascii="Times New Roman" w:hAnsi="Times New Roman" w:eastAsia="Times New Roman"/>
                <w:b w:val="0"/>
                <w:i w:val="0"/>
                <w:sz w:val="22"/>
              </w:rPr>
              <w:t>Subtype-specific bullying pathway → school refusal mechanism</w:t>
            </w:r>
          </w:p>
        </w:tc>
        <w:tc>
          <w:tcPr>
            <w:tcW w:type="dxa" w:w="3286"/>
          </w:tcPr>
          <w:p>
            <w:r/>
            <w:r>
              <w:rPr>
                <w:rFonts w:ascii="Times New Roman" w:hAnsi="Times New Roman" w:eastAsia="Times New Roman"/>
                <w:b w:val="0"/>
                <w:i w:val="0"/>
                <w:sz w:val="22"/>
              </w:rPr>
              <w:t>Cơ chế school refusal y văn QT chưa có</w:t>
            </w:r>
          </w:p>
        </w:tc>
      </w:tr>
      <w:tr>
        <w:tc>
          <w:tcPr>
            <w:tcW w:type="dxa" w:w="3286"/>
          </w:tcPr>
          <w:p>
            <w:r/>
            <w:r>
              <w:rPr>
                <w:rFonts w:ascii="Times New Roman" w:hAnsi="Times New Roman" w:eastAsia="Times New Roman"/>
                <w:b w:val="0"/>
                <w:i w:val="0"/>
                <w:sz w:val="22"/>
              </w:rPr>
              <w:t>4.2</w:t>
            </w:r>
          </w:p>
        </w:tc>
        <w:tc>
          <w:tcPr>
            <w:tcW w:type="dxa" w:w="3286"/>
          </w:tcPr>
          <w:p>
            <w:r/>
            <w:r>
              <w:rPr>
                <w:rFonts w:ascii="Times New Roman" w:hAnsi="Times New Roman" w:eastAsia="Times New Roman"/>
                <w:b w:val="0"/>
                <w:i w:val="0"/>
                <w:sz w:val="22"/>
              </w:rPr>
              <w:t>Cultural moderation: Confucian filial piety neutralises parental-support effect</w:t>
            </w:r>
          </w:p>
        </w:tc>
        <w:tc>
          <w:tcPr>
            <w:tcW w:type="dxa" w:w="3286"/>
          </w:tcPr>
          <w:p>
            <w:r/>
            <w:r>
              <w:rPr>
                <w:rFonts w:ascii="Times New Roman" w:hAnsi="Times New Roman" w:eastAsia="Times New Roman"/>
                <w:b w:val="0"/>
                <w:i w:val="0"/>
                <w:sz w:val="22"/>
              </w:rPr>
              <w:t>Gắn bó văn hóa Á trung hòa hiệu ứng</w:t>
            </w:r>
          </w:p>
        </w:tc>
      </w:tr>
      <w:tr>
        <w:tc>
          <w:tcPr>
            <w:tcW w:type="dxa" w:w="3286"/>
          </w:tcPr>
          <w:p>
            <w:r/>
            <w:r>
              <w:rPr>
                <w:rFonts w:ascii="Times New Roman" w:hAnsi="Times New Roman" w:eastAsia="Times New Roman"/>
                <w:b w:val="0"/>
                <w:i w:val="0"/>
                <w:sz w:val="22"/>
              </w:rPr>
              <w:t>4.3</w:t>
            </w:r>
          </w:p>
        </w:tc>
        <w:tc>
          <w:tcPr>
            <w:tcW w:type="dxa" w:w="3286"/>
          </w:tcPr>
          <w:p>
            <w:r/>
            <w:r>
              <w:rPr>
                <w:rFonts w:ascii="Times New Roman" w:hAnsi="Times New Roman" w:eastAsia="Times New Roman"/>
                <w:b w:val="0"/>
                <w:i w:val="0"/>
                <w:sz w:val="22"/>
              </w:rPr>
              <w:t>Coping paradox: BPĐP escalation per Compas 2017</w:t>
            </w:r>
          </w:p>
        </w:tc>
        <w:tc>
          <w:tcPr>
            <w:tcW w:type="dxa" w:w="3286"/>
          </w:tcPr>
          <w:p>
            <w:r/>
            <w:r>
              <w:rPr>
                <w:rFonts w:ascii="Times New Roman" w:hAnsi="Times New Roman" w:eastAsia="Times New Roman"/>
                <w:b w:val="0"/>
                <w:i w:val="0"/>
                <w:sz w:val="22"/>
              </w:rPr>
              <w:t>Mô hình escalation maladaptive coping</w:t>
            </w:r>
          </w:p>
        </w:tc>
      </w:tr>
      <w:tr>
        <w:tc>
          <w:tcPr>
            <w:tcW w:type="dxa" w:w="3286"/>
          </w:tcPr>
          <w:p>
            <w:r/>
            <w:r>
              <w:rPr>
                <w:rFonts w:ascii="Times New Roman" w:hAnsi="Times New Roman" w:eastAsia="Times New Roman"/>
                <w:b w:val="0"/>
                <w:i w:val="0"/>
                <w:sz w:val="22"/>
              </w:rPr>
              <w:t>4.4</w:t>
            </w:r>
          </w:p>
        </w:tc>
        <w:tc>
          <w:tcPr>
            <w:tcW w:type="dxa" w:w="3286"/>
          </w:tcPr>
          <w:p>
            <w:r/>
            <w:r>
              <w:rPr>
                <w:rFonts w:ascii="Times New Roman" w:hAnsi="Times New Roman" w:eastAsia="Times New Roman"/>
                <w:b w:val="0"/>
                <w:i w:val="0"/>
                <w:sz w:val="22"/>
              </w:rPr>
              <w:t>Self-esteem as parallel pathway: Vietnamese amplification of Sowislo-Orth</w:t>
            </w:r>
          </w:p>
        </w:tc>
        <w:tc>
          <w:tcPr>
            <w:tcW w:type="dxa" w:w="3286"/>
          </w:tcPr>
          <w:p>
            <w:r/>
            <w:r>
              <w:rPr>
                <w:rFonts w:ascii="Times New Roman" w:hAnsi="Times New Roman" w:eastAsia="Times New Roman"/>
                <w:b w:val="0"/>
                <w:i w:val="0"/>
                <w:sz w:val="22"/>
              </w:rPr>
              <w:t>Tự trọng văn hóa Á khuếch đại</w:t>
            </w:r>
          </w:p>
        </w:tc>
      </w:tr>
      <w:tr>
        <w:tc>
          <w:tcPr>
            <w:tcW w:type="dxa" w:w="3286"/>
          </w:tcPr>
          <w:p>
            <w:r/>
            <w:r>
              <w:rPr>
                <w:rFonts w:ascii="Times New Roman" w:hAnsi="Times New Roman" w:eastAsia="Times New Roman"/>
                <w:b w:val="0"/>
                <w:i w:val="0"/>
                <w:sz w:val="22"/>
              </w:rPr>
              <w:t>4.5</w:t>
            </w:r>
          </w:p>
        </w:tc>
        <w:tc>
          <w:tcPr>
            <w:tcW w:type="dxa" w:w="3286"/>
          </w:tcPr>
          <w:p>
            <w:r/>
            <w:r>
              <w:rPr>
                <w:rFonts w:ascii="Times New Roman" w:hAnsi="Times New Roman" w:eastAsia="Times New Roman"/>
                <w:b w:val="0"/>
                <w:i w:val="0"/>
                <w:sz w:val="22"/>
              </w:rPr>
              <w:t>Gender patterns: convergent with Salk 2017 for GAD+SAD; null separation</w:t>
            </w:r>
          </w:p>
        </w:tc>
        <w:tc>
          <w:tcPr>
            <w:tcW w:type="dxa" w:w="3286"/>
          </w:tcPr>
          <w:p>
            <w:r/>
            <w:r>
              <w:rPr>
                <w:rFonts w:ascii="Times New Roman" w:hAnsi="Times New Roman" w:eastAsia="Times New Roman"/>
                <w:b w:val="0"/>
                <w:i w:val="0"/>
                <w:sz w:val="22"/>
              </w:rPr>
              <w:t>Pattern giới ba tầng</w:t>
            </w:r>
          </w:p>
        </w:tc>
      </w:tr>
      <w:tr>
        <w:tc>
          <w:tcPr>
            <w:tcW w:type="dxa" w:w="3286"/>
          </w:tcPr>
          <w:p>
            <w:r/>
            <w:r>
              <w:rPr>
                <w:rFonts w:ascii="Times New Roman" w:hAnsi="Times New Roman" w:eastAsia="Times New Roman"/>
                <w:b w:val="0"/>
                <w:i w:val="0"/>
                <w:sz w:val="22"/>
              </w:rPr>
              <w:t>4.6</w:t>
            </w:r>
          </w:p>
        </w:tc>
        <w:tc>
          <w:tcPr>
            <w:tcW w:type="dxa" w:w="3286"/>
          </w:tcPr>
          <w:p>
            <w:r/>
            <w:r>
              <w:rPr>
                <w:rFonts w:ascii="Times New Roman" w:hAnsi="Times New Roman" w:eastAsia="Times New Roman"/>
                <w:b w:val="0"/>
                <w:i w:val="0"/>
                <w:sz w:val="22"/>
              </w:rPr>
              <w:t>Practical implications: subtype-tailored screening + intervention</w:t>
            </w:r>
          </w:p>
        </w:tc>
        <w:tc>
          <w:tcPr>
            <w:tcW w:type="dxa" w:w="3286"/>
          </w:tcPr>
          <w:p>
            <w:r/>
            <w:r>
              <w:rPr>
                <w:rFonts w:ascii="Times New Roman" w:hAnsi="Times New Roman" w:eastAsia="Times New Roman"/>
                <w:b w:val="0"/>
                <w:i w:val="0"/>
                <w:sz w:val="22"/>
              </w:rPr>
              <w:t>Khuyến nghị sàng lọc + can thiệp theo phân nhóm</w:t>
            </w:r>
          </w:p>
        </w:tc>
      </w:tr>
      <w:tr>
        <w:tc>
          <w:tcPr>
            <w:tcW w:type="dxa" w:w="3286"/>
          </w:tcPr>
          <w:p>
            <w:r/>
            <w:r>
              <w:rPr>
                <w:rFonts w:ascii="Times New Roman" w:hAnsi="Times New Roman" w:eastAsia="Times New Roman"/>
                <w:b w:val="0"/>
                <w:i w:val="0"/>
                <w:sz w:val="22"/>
              </w:rPr>
              <w:t>4.7</w:t>
            </w:r>
          </w:p>
        </w:tc>
        <w:tc>
          <w:tcPr>
            <w:tcW w:type="dxa" w:w="3286"/>
          </w:tcPr>
          <w:p>
            <w:r/>
            <w:r>
              <w:rPr>
                <w:rFonts w:ascii="Times New Roman" w:hAnsi="Times New Roman" w:eastAsia="Times New Roman"/>
                <w:b w:val="0"/>
                <w:i w:val="0"/>
                <w:sz w:val="22"/>
              </w:rPr>
              <w:t>Limitations: cross-sectional → causation caveats; self-report</w:t>
            </w:r>
          </w:p>
        </w:tc>
        <w:tc>
          <w:tcPr>
            <w:tcW w:type="dxa" w:w="3286"/>
          </w:tcPr>
          <w:p>
            <w:r/>
            <w:r>
              <w:rPr>
                <w:rFonts w:ascii="Times New Roman" w:hAnsi="Times New Roman" w:eastAsia="Times New Roman"/>
                <w:b w:val="0"/>
                <w:i w:val="0"/>
                <w:sz w:val="22"/>
              </w:rPr>
              <w:t>Hạn chế cắt ngang + tự báo cáo</w:t>
            </w:r>
          </w:p>
        </w:tc>
      </w:tr>
      <w:tr>
        <w:tc>
          <w:tcPr>
            <w:tcW w:type="dxa" w:w="3286"/>
          </w:tcPr>
          <w:p>
            <w:r/>
            <w:r>
              <w:rPr>
                <w:rFonts w:ascii="Times New Roman" w:hAnsi="Times New Roman" w:eastAsia="Times New Roman"/>
                <w:b w:val="0"/>
                <w:i w:val="0"/>
                <w:sz w:val="22"/>
              </w:rPr>
              <w:t>4.8</w:t>
            </w:r>
          </w:p>
        </w:tc>
        <w:tc>
          <w:tcPr>
            <w:tcW w:type="dxa" w:w="3286"/>
          </w:tcPr>
          <w:p>
            <w:r/>
            <w:r>
              <w:rPr>
                <w:rFonts w:ascii="Times New Roman" w:hAnsi="Times New Roman" w:eastAsia="Times New Roman"/>
                <w:b w:val="0"/>
                <w:i w:val="0"/>
                <w:sz w:val="22"/>
              </w:rPr>
              <w:t>Future directions: longitudinal + multi-country replication</w:t>
            </w:r>
          </w:p>
        </w:tc>
        <w:tc>
          <w:tcPr>
            <w:tcW w:type="dxa" w:w="3286"/>
          </w:tcPr>
          <w:p>
            <w:r/>
            <w:r>
              <w:rPr>
                <w:rFonts w:ascii="Times New Roman" w:hAnsi="Times New Roman" w:eastAsia="Times New Roman"/>
                <w:b w:val="0"/>
                <w:i w:val="0"/>
                <w:sz w:val="22"/>
              </w:rPr>
              <w:t>Hướng NC tiếp dọc + đa quốc gia</w:t>
            </w:r>
          </w:p>
        </w:tc>
      </w:tr>
    </w:tbl>
    <w:p>
      <w:pPr>
        <w:spacing w:before="200" w:after="80" w:line="276" w:lineRule="auto"/>
      </w:pPr>
      <w:r>
        <w:rPr>
          <w:rFonts w:ascii="Times New Roman" w:hAnsi="Times New Roman" w:eastAsia="Times New Roman"/>
          <w:b/>
          <w:i w:val="0"/>
          <w:color w:val="1F3A68"/>
          <w:sz w:val="26"/>
        </w:rPr>
        <w:t>§5. Conclusion — Kết luận (~250 từ)</w:t>
      </w:r>
    </w:p>
    <w:p>
      <w:pPr>
        <w:spacing w:before="60" w:after="60" w:line="276" w:lineRule="auto"/>
        <w:ind w:firstLine="283"/>
      </w:pPr>
      <w:r>
        <w:rPr>
          <w:rFonts w:ascii="Times New Roman" w:hAnsi="Times New Roman" w:eastAsia="Times New Roman"/>
          <w:b w:val="0"/>
          <w:i w:val="0"/>
          <w:sz w:val="24"/>
        </w:rPr>
        <w:t>EN: Summarise 3 novel cultural findings; call for longitudinal + multi-country replication; implications for subtype-tailored intervention design.</w:t>
      </w:r>
    </w:p>
    <w:p>
      <w:pPr>
        <w:spacing w:before="60" w:after="60" w:line="276" w:lineRule="auto"/>
        <w:ind w:firstLine="283"/>
      </w:pPr>
      <w:r>
        <w:rPr>
          <w:rFonts w:ascii="Times New Roman" w:hAnsi="Times New Roman" w:eastAsia="Times New Roman"/>
          <w:b w:val="0"/>
          <w:i/>
          <w:sz w:val="24"/>
        </w:rPr>
        <w:t>VN: Tóm tắt 3 phát hiện văn hóa mới; gọi đầu tư longitudinal + multi-country replication; hàm ý cho thiết kế can thiệp theo phân nhóm.</w:t>
      </w:r>
    </w:p>
    <w:p>
      <w:pPr>
        <w:spacing w:before="200" w:after="80" w:line="276" w:lineRule="auto"/>
      </w:pPr>
      <w:r>
        <w:rPr>
          <w:rFonts w:ascii="Times New Roman" w:hAnsi="Times New Roman" w:eastAsia="Times New Roman"/>
          <w:b/>
          <w:i w:val="0"/>
          <w:color w:val="1F3A68"/>
          <w:sz w:val="26"/>
        </w:rPr>
        <w:t>References — Tài liệu tham khảo (~60-80)</w:t>
      </w:r>
    </w:p>
    <w:p>
      <w:pPr>
        <w:spacing w:before="60" w:after="60" w:line="276" w:lineRule="auto"/>
        <w:ind w:firstLine="283"/>
        <w:jc w:val="both"/>
      </w:pPr>
      <w:r>
        <w:rPr>
          <w:rFonts w:ascii="Times New Roman" w:hAnsi="Times New Roman" w:eastAsia="Times New Roman"/>
          <w:b w:val="0"/>
          <w:i w:val="0"/>
          <w:sz w:val="24"/>
        </w:rPr>
        <w:t>Khác với 2 bài VJES (≤32 refs), bài Q2.5 cần 60-80 refs để đáp ứng chuẩn quốc tế. Cite rõ 3 bài đồng hành dưới dạng "our prior reviews" (Authors, 2026a; 2026b) + "our prior validation study" (Cong &amp; Dao, 2026). Thêm 30-40 ref quốc tế mới: SEM methodology (Hu &amp; Bentler 1999; Kline 2023), Vietnamese cultural psych, Confucian filial piety, school refusal literature, subtype-specific anxiety RCTs.</w:t>
      </w:r>
    </w:p>
    <w:p>
      <w:pPr>
        <w:spacing w:before="280" w:after="120" w:line="276" w:lineRule="auto"/>
      </w:pPr>
      <w:r>
        <w:rPr>
          <w:rFonts w:ascii="Times New Roman" w:hAnsi="Times New Roman" w:eastAsia="Times New Roman"/>
          <w:b/>
          <w:i w:val="0"/>
          <w:color w:val="1F3A68"/>
          <w:sz w:val="28"/>
        </w:rPr>
        <w:t>4. Chiến thuật chống self-plagiarism</w:t>
      </w:r>
    </w:p>
    <w:p>
      <w:pPr>
        <w:spacing w:before="60" w:after="60" w:line="276" w:lineRule="auto"/>
        <w:ind w:firstLine="170"/>
      </w:pPr>
      <w:r>
        <w:rPr>
          <w:rFonts w:ascii="Times New Roman" w:hAnsi="Times New Roman" w:eastAsia="Times New Roman"/>
          <w:b/>
          <w:i w:val="0"/>
          <w:sz w:val="24"/>
        </w:rPr>
        <w:t xml:space="preserve">   1. Cite 3 prior papers explicitly</w:t>
      </w:r>
    </w:p>
    <w:p>
      <w:pPr>
        <w:spacing w:before="60" w:after="60" w:line="276" w:lineRule="auto"/>
        <w:ind w:firstLine="340"/>
      </w:pPr>
      <w:r>
        <w:rPr>
          <w:rFonts w:ascii="Times New Roman" w:hAnsi="Times New Roman" w:eastAsia="Times New Roman"/>
          <w:b w:val="0"/>
          <w:i w:val="0"/>
          <w:sz w:val="22"/>
        </w:rPr>
        <w:t xml:space="preserve">      Trong Methods + Discussion: "our previously validated DSM-5 scales (Cong &amp; Dao, 2026)"; "as synthesised in our prior reviews [VJES Bài 1; VJES Bài 2]"</w:t>
      </w:r>
    </w:p>
    <w:p>
      <w:pPr>
        <w:spacing w:before="60" w:after="60" w:line="276" w:lineRule="auto"/>
        <w:ind w:firstLine="170"/>
      </w:pPr>
      <w:r>
        <w:rPr>
          <w:rFonts w:ascii="Times New Roman" w:hAnsi="Times New Roman" w:eastAsia="Times New Roman"/>
          <w:b/>
          <w:i w:val="0"/>
          <w:sz w:val="24"/>
        </w:rPr>
        <w:t xml:space="preserve">   2. Write directly in English from data</w:t>
      </w:r>
    </w:p>
    <w:p>
      <w:pPr>
        <w:spacing w:before="60" w:after="60" w:line="276" w:lineRule="auto"/>
        <w:ind w:firstLine="340"/>
      </w:pPr>
      <w:r>
        <w:rPr>
          <w:rFonts w:ascii="Times New Roman" w:hAnsi="Times New Roman" w:eastAsia="Times New Roman"/>
          <w:b w:val="0"/>
          <w:i w:val="0"/>
          <w:sz w:val="22"/>
        </w:rPr>
        <w:t xml:space="preserve">      KHÔNG dịch từng đoạn VN sang EN (cấu trúc câu sẽ trùng → trigger Turnitin). Viết EN mới hoàn toàn từ outline + dữ liệu thực.</w:t>
      </w:r>
    </w:p>
    <w:p>
      <w:pPr>
        <w:spacing w:before="60" w:after="60" w:line="276" w:lineRule="auto"/>
        <w:ind w:firstLine="170"/>
      </w:pPr>
      <w:r>
        <w:rPr>
          <w:rFonts w:ascii="Times New Roman" w:hAnsi="Times New Roman" w:eastAsia="Times New Roman"/>
          <w:b/>
          <w:i w:val="0"/>
          <w:sz w:val="24"/>
        </w:rPr>
        <w:t xml:space="preserve">   3. Paraphrase prevalence figures</w:t>
      </w:r>
    </w:p>
    <w:p>
      <w:pPr>
        <w:spacing w:before="60" w:after="60" w:line="276" w:lineRule="auto"/>
        <w:ind w:firstLine="340"/>
      </w:pPr>
      <w:r>
        <w:rPr>
          <w:rFonts w:ascii="Times New Roman" w:hAnsi="Times New Roman" w:eastAsia="Times New Roman"/>
          <w:b w:val="0"/>
          <w:i w:val="0"/>
          <w:sz w:val="22"/>
        </w:rPr>
        <w:t xml:space="preserve">      V-NAMHS 21,7%/2,3% — cite once trong Introduction; không lặp lại nhiều lần</w:t>
      </w:r>
    </w:p>
    <w:p>
      <w:pPr>
        <w:spacing w:before="60" w:after="60" w:line="276" w:lineRule="auto"/>
        <w:ind w:firstLine="170"/>
      </w:pPr>
      <w:r>
        <w:rPr>
          <w:rFonts w:ascii="Times New Roman" w:hAnsi="Times New Roman" w:eastAsia="Times New Roman"/>
          <w:b/>
          <w:i w:val="0"/>
          <w:sz w:val="24"/>
        </w:rPr>
        <w:t xml:space="preserve">   4. Different structure than VJES Bài 1</w:t>
      </w:r>
    </w:p>
    <w:p>
      <w:pPr>
        <w:spacing w:before="60" w:after="60" w:line="276" w:lineRule="auto"/>
        <w:ind w:firstLine="340"/>
      </w:pPr>
      <w:r>
        <w:rPr>
          <w:rFonts w:ascii="Times New Roman" w:hAnsi="Times New Roman" w:eastAsia="Times New Roman"/>
          <w:b w:val="0"/>
          <w:i w:val="0"/>
          <w:sz w:val="22"/>
        </w:rPr>
        <w:t xml:space="preserve">      Q2.5 = 4 mục Frontiers SEM empirical; VJES Bài 1 = review 5 nhóm yếu tố. KHÔNG copy heading "5 nhóm yếu tố".</w:t>
      </w:r>
    </w:p>
    <w:p>
      <w:pPr>
        <w:spacing w:before="60" w:after="60" w:line="276" w:lineRule="auto"/>
        <w:ind w:firstLine="170"/>
      </w:pPr>
      <w:r>
        <w:rPr>
          <w:rFonts w:ascii="Times New Roman" w:hAnsi="Times New Roman" w:eastAsia="Times New Roman"/>
          <w:b/>
          <w:i w:val="0"/>
          <w:sz w:val="24"/>
        </w:rPr>
        <w:t xml:space="preserve">   5. Different focus</w:t>
      </w:r>
    </w:p>
    <w:p>
      <w:pPr>
        <w:spacing w:before="60" w:after="60" w:line="276" w:lineRule="auto"/>
        <w:ind w:firstLine="340"/>
      </w:pPr>
      <w:r>
        <w:rPr>
          <w:rFonts w:ascii="Times New Roman" w:hAnsi="Times New Roman" w:eastAsia="Times New Roman"/>
          <w:b w:val="0"/>
          <w:i w:val="0"/>
          <w:sz w:val="22"/>
        </w:rPr>
        <w:t xml:space="preserve">      Q2.5 emphasise SUBTYPE-SPECIFIC pathways + CULTURAL moderation. VJES Bài 1 emphasise risk factors as a group.</w:t>
      </w:r>
    </w:p>
    <w:p>
      <w:pPr>
        <w:spacing w:before="60" w:after="60" w:line="276" w:lineRule="auto"/>
        <w:ind w:firstLine="170"/>
      </w:pPr>
      <w:r>
        <w:rPr>
          <w:rFonts w:ascii="Times New Roman" w:hAnsi="Times New Roman" w:eastAsia="Times New Roman"/>
          <w:b/>
          <w:i w:val="0"/>
          <w:sz w:val="24"/>
        </w:rPr>
        <w:t xml:space="preserve">   6. Pre-submission Turnitin</w:t>
      </w:r>
    </w:p>
    <w:p>
      <w:pPr>
        <w:spacing w:before="60" w:after="60" w:line="276" w:lineRule="auto"/>
        <w:ind w:firstLine="340"/>
      </w:pPr>
      <w:r>
        <w:rPr>
          <w:rFonts w:ascii="Times New Roman" w:hAnsi="Times New Roman" w:eastAsia="Times New Roman"/>
          <w:b w:val="0"/>
          <w:i w:val="0"/>
          <w:sz w:val="22"/>
        </w:rPr>
        <w:t xml:space="preserve">      Chạy script anti_turnitin_check_EN.py compare với 3 bài đã đăng + QT067 Pascoe + Compas 2017</w:t>
      </w:r>
    </w:p>
    <w:p>
      <w:pPr>
        <w:spacing w:before="160" w:after="60" w:line="276" w:lineRule="auto"/>
      </w:pPr>
      <w:r>
        <w:rPr>
          <w:rFonts w:ascii="Times New Roman" w:hAnsi="Times New Roman" w:eastAsia="Times New Roman"/>
          <w:b/>
          <w:i/>
          <w:sz w:val="24"/>
        </w:rPr>
        <w:t>Cite cascade tránh duplicate publication suspicion</w:t>
      </w:r>
    </w:p>
    <w:p>
      <w:pPr>
        <w:spacing w:before="60" w:after="60" w:line="276" w:lineRule="auto"/>
        <w:ind w:firstLine="283"/>
        <w:jc w:val="both"/>
      </w:pPr>
      <w:r>
        <w:rPr>
          <w:rFonts w:ascii="Times New Roman" w:hAnsi="Times New Roman" w:eastAsia="Times New Roman"/>
          <w:b w:val="0"/>
          <w:i/>
          <w:color w:val="3A683A"/>
          <w:sz w:val="24"/>
        </w:rPr>
        <w:t>Trong Introduction (¶3) đưa câu rõ ràng: "These prevalence figures have been recently synthesised in our companion narrative reviews (Authors, 2026a; Authors, 2026b), so we only briefly recap the headline numbers here." → Editor + Reviewer thấy chúng ta tự nhận biết, KHÔNG nghi salami slicing.</w:t>
      </w:r>
    </w:p>
    <w:p>
      <w:pPr>
        <w:spacing w:before="280" w:after="120" w:line="276" w:lineRule="auto"/>
      </w:pPr>
      <w:r>
        <w:rPr>
          <w:rFonts w:ascii="Times New Roman" w:hAnsi="Times New Roman" w:eastAsia="Times New Roman"/>
          <w:b/>
          <w:i w:val="0"/>
          <w:color w:val="1F3A68"/>
          <w:sz w:val="28"/>
        </w:rPr>
        <w:t>5. Workflow 6 giai đoạn (~5-6 tuần)</w:t>
      </w:r>
    </w:p>
    <w:tbl>
      <w:tblPr>
        <w:tblStyle w:val="LightGrid"/>
        <w:tblW w:type="auto" w:w="0"/>
        <w:tblLook w:firstColumn="1" w:firstRow="1" w:lastColumn="0" w:lastRow="0" w:noHBand="0" w:noVBand="1" w:val="04A0"/>
      </w:tblPr>
      <w:tblGrid>
        <w:gridCol w:w="2465"/>
        <w:gridCol w:w="2465"/>
        <w:gridCol w:w="2465"/>
        <w:gridCol w:w="2465"/>
      </w:tblGrid>
      <w:tr>
        <w:tc>
          <w:tcPr>
            <w:tcW w:type="dxa" w:w="2465"/>
          </w:tcPr>
          <w:p>
            <w:r/>
            <w:r>
              <w:rPr>
                <w:rFonts w:ascii="Times New Roman" w:hAnsi="Times New Roman" w:eastAsia="Times New Roman"/>
                <w:b/>
                <w:i w:val="0"/>
                <w:sz w:val="22"/>
              </w:rPr>
              <w:t>GĐ</w:t>
            </w:r>
          </w:p>
        </w:tc>
        <w:tc>
          <w:tcPr>
            <w:tcW w:type="dxa" w:w="2465"/>
          </w:tcPr>
          <w:p>
            <w:r/>
            <w:r>
              <w:rPr>
                <w:rFonts w:ascii="Times New Roman" w:hAnsi="Times New Roman" w:eastAsia="Times New Roman"/>
                <w:b/>
                <w:i w:val="0"/>
                <w:sz w:val="22"/>
              </w:rPr>
              <w:t>Việc</w:t>
            </w:r>
          </w:p>
        </w:tc>
        <w:tc>
          <w:tcPr>
            <w:tcW w:type="dxa" w:w="2465"/>
          </w:tcPr>
          <w:p>
            <w:r/>
            <w:r>
              <w:rPr>
                <w:rFonts w:ascii="Times New Roman" w:hAnsi="Times New Roman" w:eastAsia="Times New Roman"/>
                <w:b/>
                <w:i w:val="0"/>
                <w:sz w:val="22"/>
              </w:rPr>
              <w:t>Thời gian</w:t>
            </w:r>
          </w:p>
        </w:tc>
        <w:tc>
          <w:tcPr>
            <w:tcW w:type="dxa" w:w="2465"/>
          </w:tcPr>
          <w:p>
            <w:r/>
            <w:r>
              <w:rPr>
                <w:rFonts w:ascii="Times New Roman" w:hAnsi="Times New Roman" w:eastAsia="Times New Roman"/>
                <w:b/>
                <w:i w:val="0"/>
                <w:sz w:val="22"/>
              </w:rPr>
              <w:t>Output</w:t>
            </w:r>
          </w:p>
        </w:tc>
      </w:tr>
      <w:tr>
        <w:tc>
          <w:tcPr>
            <w:tcW w:type="dxa" w:w="2465"/>
          </w:tcPr>
          <w:p>
            <w:r/>
            <w:r>
              <w:rPr>
                <w:rFonts w:ascii="Times New Roman" w:hAnsi="Times New Roman" w:eastAsia="Times New Roman"/>
                <w:b w:val="0"/>
                <w:i w:val="0"/>
                <w:sz w:val="22"/>
              </w:rPr>
              <w:t>G1</w:t>
            </w:r>
          </w:p>
        </w:tc>
        <w:tc>
          <w:tcPr>
            <w:tcW w:type="dxa" w:w="2465"/>
          </w:tcPr>
          <w:p>
            <w:r/>
            <w:r>
              <w:rPr>
                <w:rFonts w:ascii="Times New Roman" w:hAnsi="Times New Roman" w:eastAsia="Times New Roman"/>
                <w:b w:val="0"/>
                <w:i w:val="0"/>
                <w:sz w:val="22"/>
              </w:rPr>
              <w:t>Data verification — re-run SEM với lavaan/Mplus; verify từng β; report Hu-Bentler</w:t>
            </w:r>
          </w:p>
        </w:tc>
        <w:tc>
          <w:tcPr>
            <w:tcW w:type="dxa" w:w="2465"/>
          </w:tcPr>
          <w:p>
            <w:r/>
            <w:r>
              <w:rPr>
                <w:rFonts w:ascii="Times New Roman" w:hAnsi="Times New Roman" w:eastAsia="Times New Roman"/>
                <w:b w:val="0"/>
                <w:i w:val="0"/>
                <w:sz w:val="22"/>
              </w:rPr>
              <w:t>1 tuần</w:t>
            </w:r>
          </w:p>
        </w:tc>
        <w:tc>
          <w:tcPr>
            <w:tcW w:type="dxa" w:w="2465"/>
          </w:tcPr>
          <w:p>
            <w:r/>
            <w:r>
              <w:rPr>
                <w:rFonts w:ascii="Times New Roman" w:hAnsi="Times New Roman" w:eastAsia="Times New Roman"/>
                <w:b w:val="0"/>
                <w:i w:val="0"/>
                <w:sz w:val="22"/>
              </w:rPr>
              <w:t>Bảng β + fit + CIs verified</w:t>
            </w:r>
          </w:p>
        </w:tc>
      </w:tr>
      <w:tr>
        <w:tc>
          <w:tcPr>
            <w:tcW w:type="dxa" w:w="2465"/>
          </w:tcPr>
          <w:p>
            <w:r/>
            <w:r>
              <w:rPr>
                <w:rFonts w:ascii="Times New Roman" w:hAnsi="Times New Roman" w:eastAsia="Times New Roman"/>
                <w:b w:val="0"/>
                <w:i w:val="0"/>
                <w:sz w:val="22"/>
              </w:rPr>
              <w:t>G2</w:t>
            </w:r>
          </w:p>
        </w:tc>
        <w:tc>
          <w:tcPr>
            <w:tcW w:type="dxa" w:w="2465"/>
          </w:tcPr>
          <w:p>
            <w:r/>
            <w:r>
              <w:rPr>
                <w:rFonts w:ascii="Times New Roman" w:hAnsi="Times New Roman" w:eastAsia="Times New Roman"/>
                <w:b w:val="0"/>
                <w:i w:val="0"/>
                <w:sz w:val="22"/>
              </w:rPr>
              <w:t>Outline chi tiết + mock 2 hình + 5 bảng</w:t>
            </w:r>
          </w:p>
        </w:tc>
        <w:tc>
          <w:tcPr>
            <w:tcW w:type="dxa" w:w="2465"/>
          </w:tcPr>
          <w:p>
            <w:r/>
            <w:r>
              <w:rPr>
                <w:rFonts w:ascii="Times New Roman" w:hAnsi="Times New Roman" w:eastAsia="Times New Roman"/>
                <w:b w:val="0"/>
                <w:i w:val="0"/>
                <w:sz w:val="22"/>
              </w:rPr>
              <w:t>2 ngày</w:t>
            </w:r>
          </w:p>
        </w:tc>
        <w:tc>
          <w:tcPr>
            <w:tcW w:type="dxa" w:w="2465"/>
          </w:tcPr>
          <w:p>
            <w:r/>
            <w:r>
              <w:rPr>
                <w:rFonts w:ascii="Times New Roman" w:hAnsi="Times New Roman" w:eastAsia="Times New Roman"/>
                <w:b w:val="0"/>
                <w:i w:val="0"/>
                <w:sz w:val="22"/>
              </w:rPr>
              <w:t>outline.md + fig mock</w:t>
            </w:r>
          </w:p>
        </w:tc>
      </w:tr>
      <w:tr>
        <w:tc>
          <w:tcPr>
            <w:tcW w:type="dxa" w:w="2465"/>
          </w:tcPr>
          <w:p>
            <w:r/>
            <w:r>
              <w:rPr>
                <w:rFonts w:ascii="Times New Roman" w:hAnsi="Times New Roman" w:eastAsia="Times New Roman"/>
                <w:b w:val="0"/>
                <w:i w:val="0"/>
                <w:sz w:val="22"/>
              </w:rPr>
              <w:t>G3</w:t>
            </w:r>
          </w:p>
        </w:tc>
        <w:tc>
          <w:tcPr>
            <w:tcW w:type="dxa" w:w="2465"/>
          </w:tcPr>
          <w:p>
            <w:r/>
            <w:r>
              <w:rPr>
                <w:rFonts w:ascii="Times New Roman" w:hAnsi="Times New Roman" w:eastAsia="Times New Roman"/>
                <w:b w:val="0"/>
                <w:i w:val="0"/>
                <w:sz w:val="22"/>
              </w:rPr>
              <w:t>Draft EN v1 — viết tuần tự §1→§5; verify số với G1 output</w:t>
            </w:r>
          </w:p>
        </w:tc>
        <w:tc>
          <w:tcPr>
            <w:tcW w:type="dxa" w:w="2465"/>
          </w:tcPr>
          <w:p>
            <w:r/>
            <w:r>
              <w:rPr>
                <w:rFonts w:ascii="Times New Roman" w:hAnsi="Times New Roman" w:eastAsia="Times New Roman"/>
                <w:b w:val="0"/>
                <w:i w:val="0"/>
                <w:sz w:val="22"/>
              </w:rPr>
              <w:t>2 tuần</w:t>
            </w:r>
          </w:p>
        </w:tc>
        <w:tc>
          <w:tcPr>
            <w:tcW w:type="dxa" w:w="2465"/>
          </w:tcPr>
          <w:p>
            <w:r/>
            <w:r>
              <w:rPr>
                <w:rFonts w:ascii="Times New Roman" w:hAnsi="Times New Roman" w:eastAsia="Times New Roman"/>
                <w:b w:val="0"/>
                <w:i w:val="0"/>
                <w:sz w:val="22"/>
              </w:rPr>
              <w:t>Draft v1</w:t>
            </w:r>
          </w:p>
        </w:tc>
      </w:tr>
      <w:tr>
        <w:tc>
          <w:tcPr>
            <w:tcW w:type="dxa" w:w="2465"/>
          </w:tcPr>
          <w:p>
            <w:r/>
            <w:r>
              <w:rPr>
                <w:rFonts w:ascii="Times New Roman" w:hAnsi="Times New Roman" w:eastAsia="Times New Roman"/>
                <w:b w:val="0"/>
                <w:i w:val="0"/>
                <w:sz w:val="22"/>
              </w:rPr>
              <w:t>G4</w:t>
            </w:r>
          </w:p>
        </w:tc>
        <w:tc>
          <w:tcPr>
            <w:tcW w:type="dxa" w:w="2465"/>
          </w:tcPr>
          <w:p>
            <w:r/>
            <w:r>
              <w:rPr>
                <w:rFonts w:ascii="Times New Roman" w:hAnsi="Times New Roman" w:eastAsia="Times New Roman"/>
                <w:b w:val="0"/>
                <w:i w:val="0"/>
                <w:sz w:val="22"/>
              </w:rPr>
              <w:t>Internal review — chuyên gia EN style + đồng nghiệp methodology</w:t>
            </w:r>
          </w:p>
        </w:tc>
        <w:tc>
          <w:tcPr>
            <w:tcW w:type="dxa" w:w="2465"/>
          </w:tcPr>
          <w:p>
            <w:r/>
            <w:r>
              <w:rPr>
                <w:rFonts w:ascii="Times New Roman" w:hAnsi="Times New Roman" w:eastAsia="Times New Roman"/>
                <w:b w:val="0"/>
                <w:i w:val="0"/>
                <w:sz w:val="22"/>
              </w:rPr>
              <w:t>1 tuần</w:t>
            </w:r>
          </w:p>
        </w:tc>
        <w:tc>
          <w:tcPr>
            <w:tcW w:type="dxa" w:w="2465"/>
          </w:tcPr>
          <w:p>
            <w:r/>
            <w:r>
              <w:rPr>
                <w:rFonts w:ascii="Times New Roman" w:hAnsi="Times New Roman" w:eastAsia="Times New Roman"/>
                <w:b w:val="0"/>
                <w:i w:val="0"/>
                <w:sz w:val="22"/>
              </w:rPr>
              <w:t>Comments + revisions</w:t>
            </w:r>
          </w:p>
        </w:tc>
      </w:tr>
      <w:tr>
        <w:tc>
          <w:tcPr>
            <w:tcW w:type="dxa" w:w="2465"/>
          </w:tcPr>
          <w:p>
            <w:r/>
            <w:r>
              <w:rPr>
                <w:rFonts w:ascii="Times New Roman" w:hAnsi="Times New Roman" w:eastAsia="Times New Roman"/>
                <w:b w:val="0"/>
                <w:i w:val="0"/>
                <w:sz w:val="22"/>
              </w:rPr>
              <w:t>G5</w:t>
            </w:r>
          </w:p>
        </w:tc>
        <w:tc>
          <w:tcPr>
            <w:tcW w:type="dxa" w:w="2465"/>
          </w:tcPr>
          <w:p>
            <w:r/>
            <w:r>
              <w:rPr>
                <w:rFonts w:ascii="Times New Roman" w:hAnsi="Times New Roman" w:eastAsia="Times New Roman"/>
                <w:b w:val="0"/>
                <w:i w:val="0"/>
                <w:sz w:val="22"/>
              </w:rPr>
              <w:t>Anti-plagiarism + Turnitin local + cite-TLTK consistency</w:t>
            </w:r>
          </w:p>
        </w:tc>
        <w:tc>
          <w:tcPr>
            <w:tcW w:type="dxa" w:w="2465"/>
          </w:tcPr>
          <w:p>
            <w:r/>
            <w:r>
              <w:rPr>
                <w:rFonts w:ascii="Times New Roman" w:hAnsi="Times New Roman" w:eastAsia="Times New Roman"/>
                <w:b w:val="0"/>
                <w:i w:val="0"/>
                <w:sz w:val="22"/>
              </w:rPr>
              <w:t>3 ngày</w:t>
            </w:r>
          </w:p>
        </w:tc>
        <w:tc>
          <w:tcPr>
            <w:tcW w:type="dxa" w:w="2465"/>
          </w:tcPr>
          <w:p>
            <w:r/>
            <w:r>
              <w:rPr>
                <w:rFonts w:ascii="Times New Roman" w:hAnsi="Times New Roman" w:eastAsia="Times New Roman"/>
                <w:b w:val="0"/>
                <w:i w:val="0"/>
                <w:sz w:val="22"/>
              </w:rPr>
              <w:t>Clean draft</w:t>
            </w:r>
          </w:p>
        </w:tc>
      </w:tr>
      <w:tr>
        <w:tc>
          <w:tcPr>
            <w:tcW w:type="dxa" w:w="2465"/>
          </w:tcPr>
          <w:p>
            <w:r/>
            <w:r>
              <w:rPr>
                <w:rFonts w:ascii="Times New Roman" w:hAnsi="Times New Roman" w:eastAsia="Times New Roman"/>
                <w:b w:val="0"/>
                <w:i w:val="0"/>
                <w:sz w:val="22"/>
              </w:rPr>
              <w:t>G6</w:t>
            </w:r>
          </w:p>
        </w:tc>
        <w:tc>
          <w:tcPr>
            <w:tcW w:type="dxa" w:w="2465"/>
          </w:tcPr>
          <w:p>
            <w:r/>
            <w:r>
              <w:rPr>
                <w:rFonts w:ascii="Times New Roman" w:hAnsi="Times New Roman" w:eastAsia="Times New Roman"/>
                <w:b w:val="0"/>
                <w:i w:val="0"/>
                <w:sz w:val="22"/>
              </w:rPr>
              <w:t>Submission Frontiers in Psychiatry — cover letter + ScholarOne</w:t>
            </w:r>
          </w:p>
        </w:tc>
        <w:tc>
          <w:tcPr>
            <w:tcW w:type="dxa" w:w="2465"/>
          </w:tcPr>
          <w:p>
            <w:r/>
            <w:r>
              <w:rPr>
                <w:rFonts w:ascii="Times New Roman" w:hAnsi="Times New Roman" w:eastAsia="Times New Roman"/>
                <w:b w:val="0"/>
                <w:i w:val="0"/>
                <w:sz w:val="22"/>
              </w:rPr>
              <w:t>2 ngày</w:t>
            </w:r>
          </w:p>
        </w:tc>
        <w:tc>
          <w:tcPr>
            <w:tcW w:type="dxa" w:w="2465"/>
          </w:tcPr>
          <w:p>
            <w:r/>
            <w:r>
              <w:rPr>
                <w:rFonts w:ascii="Times New Roman" w:hAnsi="Times New Roman" w:eastAsia="Times New Roman"/>
                <w:b w:val="0"/>
                <w:i w:val="0"/>
                <w:sz w:val="22"/>
              </w:rPr>
              <w:t>Submission ID</w:t>
            </w:r>
          </w:p>
        </w:tc>
      </w:tr>
    </w:tbl>
    <w:p>
      <w:pPr>
        <w:spacing w:before="160" w:after="60" w:line="276" w:lineRule="auto"/>
      </w:pPr>
      <w:r>
        <w:rPr>
          <w:rFonts w:ascii="Times New Roman" w:hAnsi="Times New Roman" w:eastAsia="Times New Roman"/>
          <w:b/>
          <w:i/>
          <w:sz w:val="24"/>
        </w:rPr>
        <w:t>Mốc thời gian dự kiến (nếu bắt đầu 15/05/2026):</w:t>
      </w:r>
    </w:p>
    <w:p>
      <w:pPr>
        <w:spacing w:before="60" w:after="60" w:line="276" w:lineRule="auto"/>
        <w:ind w:firstLine="170"/>
      </w:pPr>
      <w:r>
        <w:rPr>
          <w:rFonts w:ascii="Times New Roman" w:hAnsi="Times New Roman" w:eastAsia="Times New Roman"/>
          <w:b w:val="0"/>
          <w:i w:val="0"/>
          <w:sz w:val="24"/>
        </w:rPr>
        <w:t xml:space="preserve">   • 24/05/2026: G1-G2 hoàn thành</w:t>
      </w:r>
    </w:p>
    <w:p>
      <w:pPr>
        <w:spacing w:before="60" w:after="60" w:line="276" w:lineRule="auto"/>
        <w:ind w:firstLine="170"/>
      </w:pPr>
      <w:r>
        <w:rPr>
          <w:rFonts w:ascii="Times New Roman" w:hAnsi="Times New Roman" w:eastAsia="Times New Roman"/>
          <w:b w:val="0"/>
          <w:i w:val="0"/>
          <w:sz w:val="24"/>
        </w:rPr>
        <w:t xml:space="preserve">   • 07/06/2026: G3 draft v1 hoàn thành</w:t>
      </w:r>
    </w:p>
    <w:p>
      <w:pPr>
        <w:spacing w:before="60" w:after="60" w:line="276" w:lineRule="auto"/>
        <w:ind w:firstLine="170"/>
      </w:pPr>
      <w:r>
        <w:rPr>
          <w:rFonts w:ascii="Times New Roman" w:hAnsi="Times New Roman" w:eastAsia="Times New Roman"/>
          <w:b w:val="0"/>
          <w:i w:val="0"/>
          <w:sz w:val="24"/>
        </w:rPr>
        <w:t xml:space="preserve">   • 14/06/2026: G5 anti-plagiarism + Turnitin clean</w:t>
      </w:r>
    </w:p>
    <w:p>
      <w:pPr>
        <w:spacing w:before="60" w:after="60" w:line="276" w:lineRule="auto"/>
        <w:ind w:firstLine="170"/>
      </w:pPr>
      <w:r>
        <w:rPr>
          <w:rFonts w:ascii="Times New Roman" w:hAnsi="Times New Roman" w:eastAsia="Times New Roman"/>
          <w:b w:val="0"/>
          <w:i w:val="0"/>
          <w:sz w:val="24"/>
        </w:rPr>
        <w:t xml:space="preserve">   • 16/06/2026: Nộp Frontiers in Psychiatry</w:t>
      </w:r>
    </w:p>
    <w:p>
      <w:pPr>
        <w:spacing w:before="60" w:after="60" w:line="276" w:lineRule="auto"/>
        <w:ind w:firstLine="170"/>
      </w:pPr>
      <w:r>
        <w:rPr>
          <w:rFonts w:ascii="Times New Roman" w:hAnsi="Times New Roman" w:eastAsia="Times New Roman"/>
          <w:b w:val="0"/>
          <w:i w:val="0"/>
          <w:sz w:val="24"/>
        </w:rPr>
        <w:t xml:space="preserve">   • 01/09/2026: Decision dự kiến (~77 ngày)</w:t>
      </w:r>
    </w:p>
    <w:p>
      <w:pPr>
        <w:spacing w:before="60" w:after="60" w:line="276" w:lineRule="auto"/>
        <w:ind w:firstLine="170"/>
      </w:pPr>
      <w:r>
        <w:rPr>
          <w:rFonts w:ascii="Times New Roman" w:hAnsi="Times New Roman" w:eastAsia="Times New Roman"/>
          <w:b w:val="0"/>
          <w:i w:val="0"/>
          <w:sz w:val="24"/>
        </w:rPr>
        <w:t xml:space="preserve">   • 15/09/2026: Backup: Asian J Psychiatry nếu reject</w:t>
      </w:r>
    </w:p>
    <w:p>
      <w:pPr>
        <w:spacing w:before="280" w:after="120" w:line="276" w:lineRule="auto"/>
      </w:pPr>
      <w:r>
        <w:rPr>
          <w:rFonts w:ascii="Times New Roman" w:hAnsi="Times New Roman" w:eastAsia="Times New Roman"/>
          <w:b/>
          <w:i w:val="0"/>
          <w:color w:val="1F3A68"/>
          <w:sz w:val="28"/>
        </w:rPr>
        <w:t>6. Rủi ro + Mitigation</w:t>
      </w:r>
    </w:p>
    <w:tbl>
      <w:tblPr>
        <w:tblStyle w:val="LightGrid"/>
        <w:tblW w:type="auto" w:w="0"/>
        <w:tblLook w:firstColumn="1" w:firstRow="1" w:lastColumn="0" w:lastRow="0" w:noHBand="0" w:noVBand="1" w:val="04A0"/>
      </w:tblPr>
      <w:tblGrid>
        <w:gridCol w:w="3286"/>
        <w:gridCol w:w="3286"/>
        <w:gridCol w:w="3286"/>
      </w:tblGrid>
      <w:tr>
        <w:tc>
          <w:tcPr>
            <w:tcW w:type="dxa" w:w="3286"/>
          </w:tcPr>
          <w:p>
            <w:r/>
            <w:r>
              <w:rPr>
                <w:rFonts w:ascii="Times New Roman" w:hAnsi="Times New Roman" w:eastAsia="Times New Roman"/>
                <w:b/>
                <w:i w:val="0"/>
                <w:sz w:val="22"/>
              </w:rPr>
              <w:t>Rủi ro</w:t>
            </w:r>
          </w:p>
        </w:tc>
        <w:tc>
          <w:tcPr>
            <w:tcW w:type="dxa" w:w="3286"/>
          </w:tcPr>
          <w:p>
            <w:r/>
            <w:r>
              <w:rPr>
                <w:rFonts w:ascii="Times New Roman" w:hAnsi="Times New Roman" w:eastAsia="Times New Roman"/>
                <w:b/>
                <w:i w:val="0"/>
                <w:sz w:val="22"/>
              </w:rPr>
              <w:t>Xác suất</w:t>
            </w:r>
          </w:p>
        </w:tc>
        <w:tc>
          <w:tcPr>
            <w:tcW w:type="dxa" w:w="3286"/>
          </w:tcPr>
          <w:p>
            <w:r/>
            <w:r>
              <w:rPr>
                <w:rFonts w:ascii="Times New Roman" w:hAnsi="Times New Roman" w:eastAsia="Times New Roman"/>
                <w:b/>
                <w:i w:val="0"/>
                <w:sz w:val="22"/>
              </w:rPr>
              <w:t>Mitigation</w:t>
            </w:r>
          </w:p>
        </w:tc>
      </w:tr>
      <w:tr>
        <w:tc>
          <w:tcPr>
            <w:tcW w:type="dxa" w:w="3286"/>
          </w:tcPr>
          <w:p>
            <w:r/>
            <w:r>
              <w:rPr>
                <w:rFonts w:ascii="Times New Roman" w:hAnsi="Times New Roman" w:eastAsia="Times New Roman"/>
                <w:b w:val="0"/>
                <w:i w:val="0"/>
                <w:sz w:val="22"/>
              </w:rPr>
              <w:t>Self-plagiarism Turnitin &gt; 25%</w:t>
            </w:r>
          </w:p>
        </w:tc>
        <w:tc>
          <w:tcPr>
            <w:tcW w:type="dxa" w:w="3286"/>
          </w:tcPr>
          <w:p>
            <w:r/>
            <w:r>
              <w:rPr>
                <w:rFonts w:ascii="Times New Roman" w:hAnsi="Times New Roman" w:eastAsia="Times New Roman"/>
                <w:b w:val="0"/>
                <w:i w:val="0"/>
                <w:sz w:val="22"/>
              </w:rPr>
              <w:t>Trung bình</w:t>
            </w:r>
          </w:p>
        </w:tc>
        <w:tc>
          <w:tcPr>
            <w:tcW w:type="dxa" w:w="3286"/>
          </w:tcPr>
          <w:p>
            <w:r/>
            <w:r>
              <w:rPr>
                <w:rFonts w:ascii="Times New Roman" w:hAnsi="Times New Roman" w:eastAsia="Times New Roman"/>
                <w:b w:val="0"/>
                <w:i w:val="0"/>
                <w:sz w:val="22"/>
              </w:rPr>
              <w:t>6 quy tắc Section 4; viết EN trực tiếp; cite 3 bài rõ</w:t>
            </w:r>
          </w:p>
        </w:tc>
      </w:tr>
      <w:tr>
        <w:tc>
          <w:tcPr>
            <w:tcW w:type="dxa" w:w="3286"/>
          </w:tcPr>
          <w:p>
            <w:r/>
            <w:r>
              <w:rPr>
                <w:rFonts w:ascii="Times New Roman" w:hAnsi="Times New Roman" w:eastAsia="Times New Roman"/>
                <w:b w:val="0"/>
                <w:i w:val="0"/>
                <w:sz w:val="22"/>
              </w:rPr>
              <w:t>Frontiers reject (Q2.5 stretch)</w:t>
            </w:r>
          </w:p>
        </w:tc>
        <w:tc>
          <w:tcPr>
            <w:tcW w:type="dxa" w:w="3286"/>
          </w:tcPr>
          <w:p>
            <w:r/>
            <w:r>
              <w:rPr>
                <w:rFonts w:ascii="Times New Roman" w:hAnsi="Times New Roman" w:eastAsia="Times New Roman"/>
                <w:b w:val="0"/>
                <w:i w:val="0"/>
                <w:sz w:val="22"/>
              </w:rPr>
              <w:t>Trung bình</w:t>
            </w:r>
          </w:p>
        </w:tc>
        <w:tc>
          <w:tcPr>
            <w:tcW w:type="dxa" w:w="3286"/>
          </w:tcPr>
          <w:p>
            <w:r/>
            <w:r>
              <w:rPr>
                <w:rFonts w:ascii="Times New Roman" w:hAnsi="Times New Roman" w:eastAsia="Times New Roman"/>
                <w:b w:val="0"/>
                <w:i w:val="0"/>
                <w:sz w:val="22"/>
              </w:rPr>
              <w:t>Cascade ready: Asian J Psychiatry + Child Psy &amp; Hum Dev</w:t>
            </w:r>
          </w:p>
        </w:tc>
      </w:tr>
      <w:tr>
        <w:tc>
          <w:tcPr>
            <w:tcW w:type="dxa" w:w="3286"/>
          </w:tcPr>
          <w:p>
            <w:r/>
            <w:r>
              <w:rPr>
                <w:rFonts w:ascii="Times New Roman" w:hAnsi="Times New Roman" w:eastAsia="Times New Roman"/>
                <w:b w:val="0"/>
                <w:i w:val="0"/>
                <w:sz w:val="22"/>
              </w:rPr>
              <w:t>Mất data n=1.352 luận án CTH</w:t>
            </w:r>
          </w:p>
        </w:tc>
        <w:tc>
          <w:tcPr>
            <w:tcW w:type="dxa" w:w="3286"/>
          </w:tcPr>
          <w:p>
            <w:r/>
            <w:r>
              <w:rPr>
                <w:rFonts w:ascii="Times New Roman" w:hAnsi="Times New Roman" w:eastAsia="Times New Roman"/>
                <w:b w:val="0"/>
                <w:i w:val="0"/>
                <w:sz w:val="22"/>
              </w:rPr>
              <w:t>Trung bình</w:t>
            </w:r>
          </w:p>
        </w:tc>
        <w:tc>
          <w:tcPr>
            <w:tcW w:type="dxa" w:w="3286"/>
          </w:tcPr>
          <w:p>
            <w:r/>
            <w:r>
              <w:rPr>
                <w:rFonts w:ascii="Times New Roman" w:hAnsi="Times New Roman" w:eastAsia="Times New Roman"/>
                <w:b w:val="0"/>
                <w:i w:val="0"/>
                <w:sz w:val="22"/>
              </w:rPr>
              <w:t>Verify ngay G1; backup từ memory chương 3 nếu raw không tìm thấy</w:t>
            </w:r>
          </w:p>
        </w:tc>
      </w:tr>
      <w:tr>
        <w:tc>
          <w:tcPr>
            <w:tcW w:type="dxa" w:w="3286"/>
          </w:tcPr>
          <w:p>
            <w:r/>
            <w:r>
              <w:rPr>
                <w:rFonts w:ascii="Times New Roman" w:hAnsi="Times New Roman" w:eastAsia="Times New Roman"/>
                <w:b w:val="0"/>
                <w:i w:val="0"/>
                <w:sz w:val="22"/>
              </w:rPr>
              <w:t>English language reject without review</w:t>
            </w:r>
          </w:p>
        </w:tc>
        <w:tc>
          <w:tcPr>
            <w:tcW w:type="dxa" w:w="3286"/>
          </w:tcPr>
          <w:p>
            <w:r/>
            <w:r>
              <w:rPr>
                <w:rFonts w:ascii="Times New Roman" w:hAnsi="Times New Roman" w:eastAsia="Times New Roman"/>
                <w:b w:val="0"/>
                <w:i w:val="0"/>
                <w:sz w:val="22"/>
              </w:rPr>
              <w:t>Trung bình</w:t>
            </w:r>
          </w:p>
        </w:tc>
        <w:tc>
          <w:tcPr>
            <w:tcW w:type="dxa" w:w="3286"/>
          </w:tcPr>
          <w:p>
            <w:r/>
            <w:r>
              <w:rPr>
                <w:rFonts w:ascii="Times New Roman" w:hAnsi="Times New Roman" w:eastAsia="Times New Roman"/>
                <w:b w:val="0"/>
                <w:i w:val="0"/>
                <w:sz w:val="22"/>
              </w:rPr>
              <w:t>Editage/Enago professional editing trước submit</w:t>
            </w:r>
          </w:p>
        </w:tc>
      </w:tr>
      <w:tr>
        <w:tc>
          <w:tcPr>
            <w:tcW w:type="dxa" w:w="3286"/>
          </w:tcPr>
          <w:p>
            <w:r/>
            <w:r>
              <w:rPr>
                <w:rFonts w:ascii="Times New Roman" w:hAnsi="Times New Roman" w:eastAsia="Times New Roman"/>
                <w:b w:val="0"/>
                <w:i w:val="0"/>
                <w:sz w:val="22"/>
              </w:rPr>
              <w:t>Fabrication trong re-analysis</w:t>
            </w:r>
          </w:p>
        </w:tc>
        <w:tc>
          <w:tcPr>
            <w:tcW w:type="dxa" w:w="3286"/>
          </w:tcPr>
          <w:p>
            <w:r/>
            <w:r>
              <w:rPr>
                <w:rFonts w:ascii="Times New Roman" w:hAnsi="Times New Roman" w:eastAsia="Times New Roman"/>
                <w:b w:val="0"/>
                <w:i w:val="0"/>
                <w:sz w:val="22"/>
              </w:rPr>
              <w:t>Cao (precedent)</w:t>
            </w:r>
          </w:p>
        </w:tc>
        <w:tc>
          <w:tcPr>
            <w:tcW w:type="dxa" w:w="3286"/>
          </w:tcPr>
          <w:p>
            <w:r/>
            <w:r>
              <w:rPr>
                <w:rFonts w:ascii="Times New Roman" w:hAnsi="Times New Roman" w:eastAsia="Times New Roman"/>
                <w:b w:val="0"/>
                <w:i w:val="0"/>
                <w:sz w:val="22"/>
              </w:rPr>
              <w:t>G1 verify từng β với SEM output thực tế, không chép từ memory</w:t>
            </w:r>
          </w:p>
        </w:tc>
      </w:tr>
      <w:tr>
        <w:tc>
          <w:tcPr>
            <w:tcW w:type="dxa" w:w="3286"/>
          </w:tcPr>
          <w:p>
            <w:r/>
            <w:r>
              <w:rPr>
                <w:rFonts w:ascii="Times New Roman" w:hAnsi="Times New Roman" w:eastAsia="Times New Roman"/>
                <w:b w:val="0"/>
                <w:i w:val="0"/>
                <w:sz w:val="22"/>
              </w:rPr>
              <w:t>Tinh hoa bị lấy cắp</w:t>
            </w:r>
          </w:p>
        </w:tc>
        <w:tc>
          <w:tcPr>
            <w:tcW w:type="dxa" w:w="3286"/>
          </w:tcPr>
          <w:p>
            <w:r/>
            <w:r>
              <w:rPr>
                <w:rFonts w:ascii="Times New Roman" w:hAnsi="Times New Roman" w:eastAsia="Times New Roman"/>
                <w:b w:val="0"/>
                <w:i w:val="0"/>
                <w:sz w:val="22"/>
              </w:rPr>
              <w:t>Thấp</w:t>
            </w:r>
          </w:p>
        </w:tc>
        <w:tc>
          <w:tcPr>
            <w:tcW w:type="dxa" w:w="3286"/>
          </w:tcPr>
          <w:p>
            <w:r/>
            <w:r>
              <w:rPr>
                <w:rFonts w:ascii="Times New Roman" w:hAnsi="Times New Roman" w:eastAsia="Times New Roman"/>
                <w:b w:val="0"/>
                <w:i w:val="0"/>
                <w:sz w:val="22"/>
              </w:rPr>
              <w:t>Submit nhanh; KHÔNG tiết lộ β cụ thể trong preprint công khai trước submit</w:t>
            </w:r>
          </w:p>
        </w:tc>
      </w:tr>
    </w:tbl>
    <w:p>
      <w:pPr>
        <w:spacing w:before="60" w:after="60" w:line="276" w:lineRule="auto"/>
      </w:pPr>
      <w:r>
        <w:rPr>
          <w:rFonts w:ascii="Times New Roman" w:hAnsi="Times New Roman" w:eastAsia="Times New Roman"/>
          <w:b w:val="0"/>
          <w:i w:val="0"/>
          <w:sz w:val="16"/>
        </w:rPr>
      </w:r>
    </w:p>
    <w:p>
      <w:pPr>
        <w:spacing w:before="60" w:after="60" w:line="276" w:lineRule="auto"/>
        <w:jc w:val="both"/>
      </w:pPr>
      <w:r>
        <w:rPr>
          <w:rFonts w:ascii="Times New Roman" w:hAnsi="Times New Roman" w:eastAsia="Times New Roman"/>
          <w:b w:val="0"/>
          <w:i/>
          <w:color w:val="707070"/>
          <w:sz w:val="20"/>
        </w:rPr>
        <w:t>— Khung gợi ý này KHÔNG có dữ liệu cụ thể chưa verify; toàn bộ β/R²/Cohen d cần re-run SEM ở G1 trước khi đưa vào bản thảo. Mục tiêu: bài Q2.5 sạch ethics + publication-ready theo chuẩn Frontiers in Psychiatry / Asian J Psychiatry.</w:t>
      </w:r>
    </w:p>
    <w:sectPr w:rsidR="00FC693F" w:rsidRPr="0006063C" w:rsidSect="00034616">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2026-05-01T09:00:00Z</dcterms:created>
  <dcterms:modified xsi:type="dcterms:W3CDTF">2026-05-13T18:00:00Z</dcterms:modified>
  <cp:category/>
</cp:coreProperties>
</file>