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five school-relevant risk factors (academic pressure, smartphone addiction, school bullying, self-esteem, parental support)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Anxiety disorders are the most prevalent mental health condition among adolescents globally, with the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(UNICEF Vietnam, 2022). Subsequent multi-province screening studies with DASS-21 documented elevated anxiety symptom rates near 30% (Hoàng Trung Học et al., 2025), and large urban samples confirmed the persistence of elevated screening rates in junior secondary cohorts (Dương et al., 2025).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five school-relevant risk factors (academic pressure, smartphone addiction, school bullying, self-esteem, parental support)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covering physical, verbal, and cyber bullying, self-esteem with the ten-item Rosenberg Self-Esteem Scale, perceived parental support with the parental subscale of the Multidimensional Scale of Perceived Social Support,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widely used SEM software, with all parameter estimates reported as standardised betas with two-tailed p-values. Throughout, we adopt the convention recommended by the Vietnam Journal of Educational Sciences for transparent declaration of artificial-intelligence assistance: the authors used a large-language-model tool only for English-language polishing and reference formatting; all analytic decisions, interpretation, and writing of substantive content were carried out by the human authors.</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generates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Subtype-specific intervention design follows directly.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2026-05-13T18:00:00Z</dcterms:modified>
  <cp:category/>
</cp:coreProperties>
</file>