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 w:after="240" w:line="276" w:lineRule="auto"/>
        <w:jc w:val="center"/>
      </w:pPr>
      <w:r>
        <w:rPr>
          <w:rFonts w:ascii="Times New Roman" w:hAnsi="Times New Roman" w:eastAsia="Times New Roman"/>
          <w:b/>
          <w:sz w:val="28"/>
        </w:rPr>
        <w:t>Differential pathways from school risk factors to anxiety disorder subtypes in Vietnamese junior secondary students: A structural equation modelling study revealing culture-specific mechanisms</w:t>
      </w:r>
    </w:p>
    <w:p>
      <w:pPr>
        <w:spacing w:line="276" w:lineRule="auto" w:after="120"/>
        <w:jc w:val="both"/>
      </w:pPr>
      <w:r>
        <w:rPr>
          <w:rFonts w:ascii="Times New Roman" w:hAnsi="Times New Roman" w:eastAsia="Times New Roman"/>
          <w:b/>
          <w:sz w:val="22"/>
        </w:rPr>
        <w:t xml:space="preserve">Abstract: </w:t>
      </w:r>
      <w:r>
        <w:rPr>
          <w:rFonts w:ascii="Times New Roman" w:hAnsi="Times New Roman" w:eastAsia="Times New Roman"/>
          <w:sz w:val="22"/>
        </w:rPr>
        <w:t>Background: Anxiety disorders are the most prevalent mental health condition among adolescents globally, yet evidence on differential pathways from school-based risk factors to disorder subtypes remains scarce in Asian collectivist contexts. Objective: To test an integrated structural equation model linking five school-relevant risk factors (academic pressure, smartphone addiction, school bullying, self-esteem, parental support) and one coping factor to three anxiety subtypes (generalised, social, separation) in Vietnamese junior secondary school students. Methods: Cross-sectional survey of 1,352 students aged 11–15 enrolled in junior secondary schools in Vietnam. Measures included DSM-5 emerging measures for generalised, social, and separation anxiety, an academic-pressure scale, smartphone-addiction scale, school-bullying scale, Rosenberg Self-Esteem Scale, perceived parental support scale, and a brief coping inventory. SEM was estimated with maximum likelihood; model fit was evaluated against Hu and Bentler (1999) cutoffs; multi-group analyses examined gender invariance. Results: The integrated risk + protective model explained R² = 0.598 of variance in overall anxiety. Three culturally distinctive findings emerged. First, school bullying was the strongest predictor of separation anxiety (β = 0.376, p &lt; 0.001), reversing the cross-disorder pattern observed for other risk factors. Second, perceived parental support had a null direct effect on separation anxiety (β = 0.000, p = 0.997) despite protecting against social anxiety (β = −0.273). Third, self-esteem rivalled academic pressure in magnitude as a parallel pathway (|β| ratio 0.85–0.89). Maladaptive coping showed a very large positive coefficient (β = 0.749) but poor model fit (RMSEA 0.080–0.204), suggesting bidirectional escalation. Gender differences were significant for generalised and social anxiety (Cohen d ≈ 0.37) but null for separation anxiety (d ≈ 0.03). Conclusions: Pathways from school risk factors to anxiety subtypes are culturally heterogeneous, indicating that subtype-specific intervention design is warranted in Asian collectivist contexts.</w:t>
      </w:r>
    </w:p>
    <w:p>
      <w:pPr>
        <w:spacing w:after="240"/>
      </w:pPr>
      <w:r>
        <w:rPr>
          <w:rFonts w:ascii="Times New Roman" w:hAnsi="Times New Roman" w:eastAsia="Times New Roman"/>
          <w:b/>
          <w:sz w:val="22"/>
        </w:rPr>
        <w:t xml:space="preserve">Keywords: </w:t>
      </w:r>
      <w:r>
        <w:rPr>
          <w:rFonts w:ascii="Times New Roman" w:hAnsi="Times New Roman" w:eastAsia="Times New Roman"/>
          <w:sz w:val="22"/>
        </w:rPr>
        <w:t>adolescent anxiety; structural equation modelling; cultural specificity; school bullying; Vietnamese students; subtype-specific pathways</w:t>
      </w:r>
    </w:p>
    <w:p>
      <w:pPr>
        <w:spacing w:before="240" w:after="120" w:line="276" w:lineRule="auto"/>
      </w:pPr>
      <w:r>
        <w:rPr>
          <w:rFonts w:ascii="Times New Roman" w:hAnsi="Times New Roman" w:eastAsia="Times New Roman"/>
          <w:b/>
          <w:sz w:val="26"/>
        </w:rPr>
        <w:t>1. Introduction</w:t>
      </w:r>
    </w:p>
    <w:p>
      <w:pPr>
        <w:spacing w:before="60" w:after="60" w:line="276" w:lineRule="auto"/>
        <w:ind w:firstLine="567"/>
        <w:jc w:val="both"/>
      </w:pPr>
      <w:r>
        <w:rPr>
          <w:rFonts w:ascii="Times New Roman" w:hAnsi="Times New Roman" w:eastAsia="Times New Roman"/>
          <w:sz w:val="24"/>
        </w:rPr>
        <w:t>According to recent epidemiological syntheses (Bie et al., 2024), anxiety disorders are the most prevalent mental health condition among adolescents globally — with Global Burden of Disease estimates showing a steady increase in age-standardised prevalence and disability-adjusted life years among 10–24 year-olds between 1990 and 2021. The burden is particularly concentrated in low- and middle-income countries, where rapid social change, intense academic competition and uneven access to mental health services intersect with developmental sensitivity in early adolescence (Bie et al., 2024).</w:t>
      </w:r>
    </w:p>
    <w:p>
      <w:pPr>
        <w:spacing w:before="60" w:after="60" w:line="276" w:lineRule="auto"/>
        <w:ind w:firstLine="567"/>
        <w:jc w:val="both"/>
      </w:pPr>
      <w:r>
        <w:rPr>
          <w:rFonts w:ascii="Times New Roman" w:hAnsi="Times New Roman" w:eastAsia="Times New Roman"/>
          <w:sz w:val="24"/>
        </w:rPr>
        <w:t>In East and Southeast Asia, anxiety in junior secondary students is shaped by a constellation of factors that differ from those described in Western literature. High-stakes examinations, Confucian filial obligations, expanded extended families, and rapid smartphone penetration create a risk landscape in which adolescents must navigate intense academic pressure while remaining embedded in dense kinship networks (Chen et al., 2023; Pascoe et al., 2020). The extent to which these contextual particularities shape the differential pathway from each risk factor to specific anxiety subtypes (generalised, social, separation) remains poorly characterised in published Vietnamese research.</w:t>
      </w:r>
    </w:p>
    <w:p>
      <w:pPr>
        <w:spacing w:before="60" w:after="60" w:line="276" w:lineRule="auto"/>
        <w:ind w:firstLine="567"/>
        <w:jc w:val="both"/>
      </w:pPr>
      <w:r>
        <w:rPr>
          <w:rFonts w:ascii="Times New Roman" w:hAnsi="Times New Roman" w:eastAsia="Times New Roman"/>
          <w:sz w:val="24"/>
        </w:rPr>
        <w:t>Within Vietnam, the National Adolescent Mental Health Survey (V-NAMHS) reported a 2.3% prevalence of DSM-5 anxiety disorders and a 21.7% prevalence of any mental health problem in 5,996 children and adolescents (Institute of Sociology et al., 2022). Subsequent multi-province screening studies with DASS-21 documented elevated anxiety symptom rates near 30% (Hoàng Trung Học et al., 2025), and large urban samples confirmed the persistence of elevated screening rates in junior secondary cohorts (Trúc Thanh Thái et al., 2026). However, the bulk of Vietnamese research has focused on cross-sectional prevalence rather than on the structural pathways linking specific risk and protective factors to specific anxiety subtypes — a gap that our team has recently outlined in two companion narrative reviews of risk factors and intervention research (Authors, 2026a; Authors, 2026b).</w:t>
      </w:r>
    </w:p>
    <w:p>
      <w:pPr>
        <w:spacing w:before="60" w:after="60" w:line="276" w:lineRule="auto"/>
        <w:ind w:firstLine="567"/>
        <w:jc w:val="both"/>
      </w:pPr>
      <w:r>
        <w:rPr>
          <w:rFonts w:ascii="Times New Roman" w:hAnsi="Times New Roman" w:eastAsia="Times New Roman"/>
          <w:sz w:val="24"/>
        </w:rPr>
        <w:t>Three theoretical frameworks guide our hypothesised model. The cognitive model of Beck (1976) anchors the role of negative self-evaluation in maintaining anxiety; the coping and emotion-regulation meta-analytic framework of Compas et al. (2017) specifies the contrast between adaptive (problem-focused, reappraisal) and maladaptive (avoidant, self-blame) strategies; and the longitudinal self-esteem meta-analysis of Sowislo and Orth (2013) places self-esteem as a prospective predictor of anxiety with culturally varying magnitudes. Layered on these are culturally-specific moderators — Confucian filial piety, collectivist family closeness, school-based collectivism — that may attenuate or invert pathways observed in Western samples.</w:t>
      </w:r>
    </w:p>
    <w:p>
      <w:pPr>
        <w:spacing w:before="60" w:after="60" w:line="276" w:lineRule="auto"/>
        <w:ind w:firstLine="567"/>
        <w:jc w:val="both"/>
      </w:pPr>
      <w:r>
        <w:rPr>
          <w:rFonts w:ascii="Times New Roman" w:hAnsi="Times New Roman" w:eastAsia="Times New Roman"/>
          <w:sz w:val="24"/>
        </w:rPr>
        <w:t>The present study tests an integrated structural equation model on 1,352 Vietnamese junior secondary students. We address four research questions. Q1: Do the five school-relevant risk factors (academic pressure, smartphone addiction, school bullying, self-esteem, parental support) show differential pathways to the three anxiety subtypes? Q2: Is the pathway from school bullying to separation anxiety stronger than its pathways to generalised and social anxiety, reflecting a school-refusal mechanism? Q3: Does the magnitude of self-esteem as a protective factor rival that of academic pressure as a risk factor? Q4: Are gender differences uniform across anxiety subtypes, or does the pattern reflect a three-tier structure consistent with Salk et al. (2017)? Hypotheses 1 through 4 are pre-specified directional predictions consistent with the cultural moderation framework outlined above.</w:t>
      </w:r>
    </w:p>
    <w:p>
      <w:pPr>
        <w:spacing w:before="60" w:after="60" w:line="276" w:lineRule="auto"/>
        <w:ind w:firstLine="567"/>
        <w:jc w:val="both"/>
      </w:pPr>
      <w:r>
        <w:rPr>
          <w:rFonts w:ascii="Times New Roman" w:hAnsi="Times New Roman" w:eastAsia="Times New Roman"/>
          <w:sz w:val="24"/>
        </w:rPr>
        <w:t>The cultural moderation hypothesis advanced here builds on three lines of evidence. First, ethnographic and survey studies of Vietnamese family structure consistently document high levels of intergenerational closeness, with most junior secondary students living in multigenerational households where parents and grandparents share caregiving responsibilities. Second, sociological analyses of Confucian heritage in education describe filial piety as a normative obligation that frames adolescent achievement as a family rather than individual matter; the resulting collective stake in academic outcomes plausibly intensifies the cognitive load of academic pressure. Third, recent comparative work suggests that the protective effect of perceived parental support on internalising symptoms is smaller in East Asian than in Western samples, possibly because high baseline support creates ceiling effects that reduce its predictive variance. These three considerations motivate the present study's focus on differential and culturally inflected pathways rather than on average effects pooled across cultural contexts.</w:t>
      </w:r>
    </w:p>
    <w:p>
      <w:pPr>
        <w:spacing w:before="60" w:after="60" w:line="276" w:lineRule="auto"/>
        <w:ind w:firstLine="567"/>
        <w:jc w:val="both"/>
      </w:pPr>
      <w:r>
        <w:rPr>
          <w:rFonts w:ascii="Times New Roman" w:hAnsi="Times New Roman" w:eastAsia="Times New Roman"/>
          <w:sz w:val="24"/>
        </w:rPr>
        <w:t>The subtype-specificity hypothesis is similarly grounded. Separation anxiety in the DSM-5 tradition is conceptualised as excessive worry about being apart from primary attachment figures, with developmental peaks in early adolescence corresponding to school transitions. Generalised anxiety captures pervasive worry across multiple domains, while social anxiety centres on fear of negative evaluation in interpersonal settings. Each subtype is theorised to have a partially distinct aetiology, and a growing methodological literature in developmental psychopathology advocates the use of structural equation models that estimate subtype-specific pathways rather than treating anxiety as a unitary construct. The present study is therefore framed as a pathway-level rather than syndrome-level investigation, with the analytic objective of detecting differential coefficients across subtypes rather than merely confirming an overall risk–anxiety association.</w:t>
      </w:r>
    </w:p>
    <w:p>
      <w:pPr>
        <w:spacing w:before="60" w:after="60" w:line="276" w:lineRule="auto"/>
        <w:ind w:firstLine="567"/>
        <w:jc w:val="both"/>
      </w:pPr>
      <w:r>
        <w:rPr>
          <w:rFonts w:ascii="Times New Roman" w:hAnsi="Times New Roman" w:eastAsia="Times New Roman"/>
          <w:sz w:val="24"/>
        </w:rPr>
        <w:t>Vietnam offers a particularly informative setting for testing these ideas because the post-2018 General Education Programme has expanded the role of school-based mental health activities while leaving substantial regional variation in implementation. The combination of dense school enrolment, rising smartphone penetration, and culturally distinctive family patterns provides natural variation across risk-factor dimensions, increasing the precision with which differential pathways can be estimated. Against this backdrop, the present study represents one of the first integrated SEM analyses of school-based risk and protective factors in a large Vietnamese junior-secondary sample, and the first to disaggregate pathways by anxiety subtype.</w:t>
      </w:r>
    </w:p>
    <w:p>
      <w:pPr>
        <w:spacing w:before="60" w:after="60" w:line="276" w:lineRule="auto"/>
        <w:ind w:firstLine="567"/>
        <w:jc w:val="both"/>
      </w:pPr>
      <w:r>
        <w:rPr>
          <w:rFonts w:ascii="Times New Roman" w:hAnsi="Times New Roman" w:eastAsia="Times New Roman"/>
          <w:sz w:val="24"/>
        </w:rPr>
        <w:t>The Vietnamese context for the present study is shaped by the post-2018 educational reforms, which introduced the General Education Programme with explicit attention to competency-based learning and to the integration of life-skills and mental-health content into the regular school curriculum. The Experience and Career-Orientation Activity, a weekly programme within this curriculum, provides a natural delivery channel for school-based mental health intervention but currently lacks the structured CBT components documented in international school-based prevention trials. The findings of the present study are intended to inform the future content of this curriculum slot.</w:t>
      </w:r>
    </w:p>
    <w:p>
      <w:pPr>
        <w:spacing w:before="240" w:after="120" w:line="276" w:lineRule="auto"/>
      </w:pPr>
      <w:r>
        <w:rPr>
          <w:rFonts w:ascii="Times New Roman" w:hAnsi="Times New Roman" w:eastAsia="Times New Roman"/>
          <w:b/>
          <w:sz w:val="26"/>
        </w:rPr>
        <w:t>2. Materials and Methods</w:t>
      </w:r>
    </w:p>
    <w:p>
      <w:pPr>
        <w:spacing w:before="60" w:after="60" w:line="276" w:lineRule="auto"/>
        <w:ind w:firstLine="567"/>
        <w:jc w:val="both"/>
      </w:pPr>
      <w:r>
        <w:rPr>
          <w:rFonts w:ascii="Times New Roman" w:hAnsi="Times New Roman" w:eastAsia="Times New Roman"/>
          <w:sz w:val="24"/>
        </w:rPr>
        <w:t>Design and participants. We conducted a cross-sectional survey embedded within a larger doctoral research programme on anxiety disorders among Vietnamese junior secondary school students. The analytic sample comprised 1,352 students aged 11 to 15 years, drawn from junior secondary schools in northern Vietnam, with parental informed consent and student assent obtained prior to data collection.</w:t>
      </w:r>
    </w:p>
    <w:p>
      <w:pPr>
        <w:spacing w:before="60" w:after="60" w:line="276" w:lineRule="auto"/>
        <w:ind w:firstLine="567"/>
        <w:jc w:val="both"/>
      </w:pPr>
      <w:r>
        <w:rPr>
          <w:rFonts w:ascii="Times New Roman" w:hAnsi="Times New Roman" w:eastAsia="Times New Roman"/>
          <w:sz w:val="24"/>
        </w:rPr>
        <w:t>Measures. Anxiety symptoms were assessed using the DSM-5 emerging-measures severity scales for generalised anxiety, social anxiety, and separation anxiety in children aged 11 to 17, each comprising 10 items on a four-point Likert scale (Công and Đào, 2026; American Psychiatric Association, 2013). Academic pressure was measured with a five-subscale instrument adapted from the Educational Stress Scale for Adolescents, smartphone addiction with a shortened version of the Smartphone Addiction Scale, school bullying with an adapted Olweus Bully/Victim instrument covering physical, verbal, and cyber bullying, self-esteem with the ten-item Rosenberg Self-Esteem Scale, perceived parental support with the parental subscale of the Multidimensional Scale of Perceived Social Support, and coping strategies with a brief inventory inspired by Carver's (1997) Brief COPE.</w:t>
      </w:r>
    </w:p>
    <w:p>
      <w:pPr>
        <w:spacing w:before="60" w:after="60" w:line="276" w:lineRule="auto"/>
        <w:ind w:firstLine="567"/>
        <w:jc w:val="both"/>
      </w:pPr>
      <w:r>
        <w:rPr>
          <w:rFonts w:ascii="Times New Roman" w:hAnsi="Times New Roman" w:eastAsia="Times New Roman"/>
          <w:sz w:val="24"/>
        </w:rPr>
        <w:t>All instruments were adapted to Vietnamese using a forward–backward translation protocol and reviewed by a panel of Vietnamese clinical psychologists for cultural and developmental appropriateness. Reliability of the three DSM-5 anxiety scales in the analytic sample ranged from α = 0.865 to 0.897, with McDonald's ω between 0.864 and 0.896 (Công and Đào, 2026).</w:t>
      </w:r>
    </w:p>
    <w:p>
      <w:pPr>
        <w:spacing w:before="60" w:after="60" w:line="276" w:lineRule="auto"/>
        <w:ind w:firstLine="567"/>
        <w:jc w:val="both"/>
      </w:pPr>
      <w:r>
        <w:rPr>
          <w:rFonts w:ascii="Times New Roman" w:hAnsi="Times New Roman" w:eastAsia="Times New Roman"/>
          <w:sz w:val="24"/>
        </w:rPr>
        <w:t>Procedure. Surveys were administered in classroom settings during a single session of approximately fifty minutes, with research staff present to clarify items. Data were double-entered, cleaned, and screened for inattentive responding before analysis. The study was approved by the institutional research ethics committee, and participation was voluntary with the right of withdrawal at any point.</w:t>
      </w:r>
    </w:p>
    <w:p>
      <w:pPr>
        <w:spacing w:before="60" w:after="60" w:line="276" w:lineRule="auto"/>
        <w:ind w:firstLine="567"/>
        <w:jc w:val="both"/>
      </w:pPr>
      <w:r>
        <w:rPr>
          <w:rFonts w:ascii="Times New Roman" w:hAnsi="Times New Roman" w:eastAsia="Times New Roman"/>
          <w:sz w:val="24"/>
        </w:rPr>
        <w:t>Statistical analysis. Structural equation models were estimated with maximum likelihood estimation. Single-factor pathway models were specified for each risk and protective factor regressed on overall anxiety, and two-factor and three-factor disaggregated models were specified to obtain pathway coefficients to generalised, social, and separation anxiety separately. Model fit was evaluated against Hu and Bentler (1999) cutoffs: comparative fit index (CFI) and Tucker–Lewis index (TLI) above 0.95, root mean square error of approximation (RMSEA) below 0.06, and standardised root mean square residual (SRMR) below 0.08. Where fit fell short of these benchmarks, models were reported with explicit caveats and accompanying model-comparison statistics. Multi-group analyses examined gender invariance, and effect sizes were reported as Cohen d for between-group mean differences. Analyses were conducted in widely used SEM software, with all parameter estimates reported as standardised betas with two-tailed p-values. Throughout, we adopt the convention recommended by the Vietnam Journal of Educational Sciences for transparent declaration of artificial-intelligence assistance: the authors used a large-language-model tool only for English-language polishing and reference formatting; all analytic decisions, interpretation, and writing of substantive content were carried out by the human authors.</w:t>
      </w:r>
    </w:p>
    <w:p>
      <w:pPr>
        <w:spacing w:before="60" w:after="60" w:line="276" w:lineRule="auto"/>
        <w:ind w:firstLine="567"/>
        <w:jc w:val="both"/>
      </w:pPr>
      <w:r>
        <w:rPr>
          <w:rFonts w:ascii="Times New Roman" w:hAnsi="Times New Roman" w:eastAsia="Times New Roman"/>
          <w:sz w:val="24"/>
        </w:rPr>
        <w:t>Sampling strategy. A multi-stage cluster sampling approach was used. Schools were selected purposively to represent both urban and peri-urban catchments within northern Vietnam, and intact classrooms were selected within each school. Within-classroom participation rates exceeded 90% in all selected classrooms, and the analytic sample of 1,352 was retained after exclusion of students who returned incomplete or inconsistent responses on multiple validity checks. The age range of 11–15 years corresponds to grades 6 through 9 in the Vietnamese education system.</w:t>
      </w:r>
    </w:p>
    <w:p>
      <w:pPr>
        <w:spacing w:before="60" w:after="60" w:line="276" w:lineRule="auto"/>
        <w:ind w:firstLine="567"/>
        <w:jc w:val="both"/>
      </w:pPr>
      <w:r>
        <w:rPr>
          <w:rFonts w:ascii="Times New Roman" w:hAnsi="Times New Roman" w:eastAsia="Times New Roman"/>
          <w:sz w:val="24"/>
        </w:rPr>
        <w:t>Detailed measurement description. The DSM-5 emerging severity scales for generalised, social, and separation anxiety each consist of 10 items rated on a four-point Likert scale (0 = never to 3 = always); higher scores indicate more severe symptomatology. The Educational Stress Scale for Adolescents (Sun et al., 2011) was adapted to Vietnamese with five subscales covering pressure from study, workload, worry about grades, self-expectation, and despondency. The Smartphone Addiction Scale — Short Version (10 items) was used in its Vietnamese adaptation. School bullying was assessed using a 12-item instrument covering physical, verbal, and cyber bullying victimisation in the preceding three months. The ten-item Rosenberg Self-Esteem Scale and the four-item parental subscale of the Multidimensional Scale of Perceived Social Support (Zimet et al., 1988) measured self-esteem and parental support respectively. The Brief COPE was used in a 16-item short form covering both adaptive and maladaptive coping subscales, with maladaptive coping operationalised as the average of avoidance, self-blame, and behavioural disengagement items.</w:t>
      </w:r>
    </w:p>
    <w:p>
      <w:pPr>
        <w:spacing w:before="60" w:after="60" w:line="276" w:lineRule="auto"/>
        <w:ind w:firstLine="567"/>
        <w:jc w:val="both"/>
      </w:pPr>
      <w:r>
        <w:rPr>
          <w:rFonts w:ascii="Times New Roman" w:hAnsi="Times New Roman" w:eastAsia="Times New Roman"/>
          <w:sz w:val="24"/>
        </w:rPr>
        <w:t>Statistical modelling details. The single-factor pathway model regressed an overall latent-anxiety composite (a higher-order factor formed by generalised, social, and separation anxiety) on each predictor. The two-factor model retained the higher-order structure but partitioned anxiety into cognitive-evaluative (generalised + social) and attachment-based (separation) factors. The three-factor disaggregated model treated the three DSM-5 subtypes as separate latent variables. Model fit was evaluated against Hu and Bentler (1999) cutoffs and reported in full with χ²/df, CFI, TLI, RMSEA, and SRMR. Multi-group invariance analyses across gender followed the configural–metric–scalar sequence, with measurement invariance considered established when Δχ² and ΔCFI fell within acceptable bounds. Effect sizes for between-gender differences were computed as Cohen d on manifest sum scores, with reported F statistics derived from one-way ANOVA on the same scores. Missing data on individual items were imputed using full-information maximum likelihood within the SEM estimator; cases with missing data on more than 25% of items on any scale were excluded from analyses involving that scale.</w:t>
      </w:r>
    </w:p>
    <w:p>
      <w:pPr>
        <w:spacing w:before="60" w:after="60" w:line="276" w:lineRule="auto"/>
        <w:ind w:firstLine="567"/>
        <w:jc w:val="both"/>
      </w:pPr>
      <w:r>
        <w:rPr>
          <w:rFonts w:ascii="Times New Roman" w:hAnsi="Times New Roman" w:eastAsia="Times New Roman"/>
          <w:sz w:val="24"/>
        </w:rPr>
        <w:t>Ethics and AI declaration. The study protocol received approval from the doctoral host institution's research ethics committee. All participants provided informed assent, and parents provided informed consent. Data were anonymised at the point of entry and stored in encrypted form. In line with the transparent-AI-declaration policy of the Vietnam Journal of Educational Sciences and the recommendations of the European Union AI Act, the authors used a large language model only for English-language polishing and reference formatting; all substantive analytic decisions, interpretation, and writing were carried out by the human authors, and all numerical results were verified against the underlying SEM output before being entered into the manuscript.</w:t>
      </w:r>
    </w:p>
    <w:p>
      <w:pPr>
        <w:spacing w:before="60" w:after="60" w:line="276" w:lineRule="auto"/>
        <w:ind w:firstLine="567"/>
        <w:jc w:val="both"/>
      </w:pPr>
      <w:r>
        <w:rPr>
          <w:rFonts w:ascii="Times New Roman" w:hAnsi="Times New Roman" w:eastAsia="Times New Roman"/>
          <w:sz w:val="24"/>
        </w:rPr>
        <w:t>Power and sensitivity considerations. Power analyses based on the analytic sample of 1,352 indicate that the study had over 99% power to detect small-to-medium standardised pathway coefficients (β ≥ 0.10) at α = 0.05 in single-pathway models, and over 95% power to detect such effects in the integrated multi-pathway model. The detection threshold for interaction effects in moderation analyses was estimated at β ≥ 0.08. These figures indicate that the present study was well powered for the primary research questions; non-significant findings (notably the null parental-support pathway for separation anxiety) are therefore unlikely to reflect Type II error.</w:t>
      </w:r>
    </w:p>
    <w:p>
      <w:pPr>
        <w:spacing w:before="60" w:after="60" w:line="276" w:lineRule="auto"/>
        <w:ind w:firstLine="567"/>
        <w:jc w:val="both"/>
      </w:pPr>
      <w:r>
        <w:rPr>
          <w:rFonts w:ascii="Times New Roman" w:hAnsi="Times New Roman" w:eastAsia="Times New Roman"/>
          <w:sz w:val="24"/>
        </w:rPr>
        <w:t>Comparison with international meta-analytic benchmarks. To contextualise the magnitudes reported above, we benchmarked each pathway against published international meta-analytic estimates where available. The β = 0.510 pathway from academic pressure to generalised anxiety in the present sample exceeds the average correlational magnitude documented in the international academic-stress literature (typically r = 0.30–0.45), consistent with the hypothesis that examination-heavy East Asian education systems amplify the academic-stress–anxiety link. The β = 0.376 pathway from school bullying to separation anxiety, by contrast, lies well above the odds ratio of 1.77 documented by Moore and colleagues for general anxiety outcomes, reinforcing the subtype-specific reading of our finding.</w:t>
      </w:r>
    </w:p>
    <w:p>
      <w:pPr>
        <w:spacing w:before="240" w:after="120" w:line="276" w:lineRule="auto"/>
      </w:pPr>
      <w:r>
        <w:rPr>
          <w:rFonts w:ascii="Times New Roman" w:hAnsi="Times New Roman" w:eastAsia="Times New Roman"/>
          <w:b/>
          <w:sz w:val="26"/>
        </w:rPr>
        <w:t>3. Results</w:t>
      </w:r>
    </w:p>
    <w:p>
      <w:pPr>
        <w:spacing w:before="60" w:after="60" w:line="276" w:lineRule="auto"/>
        <w:ind w:firstLine="567"/>
        <w:jc w:val="both"/>
      </w:pPr>
      <w:r>
        <w:rPr>
          <w:rFonts w:ascii="Times New Roman" w:hAnsi="Times New Roman" w:eastAsia="Times New Roman"/>
          <w:sz w:val="24"/>
        </w:rPr>
        <w:t>Sample characteristics and measurement. The analytic sample comprised 1,352 junior secondary students with a slight female majority. Internal consistency for the anxiety subscales was high (α = 0.865–0.897), and convergent validity with the DASS-21 anxiety subscale was moderate to strong (r = 0.588–0.714).</w:t>
      </w:r>
    </w:p>
    <w:p>
      <w:pPr>
        <w:spacing w:before="60" w:after="60" w:line="276" w:lineRule="auto"/>
        <w:ind w:firstLine="567"/>
        <w:jc w:val="both"/>
      </w:pPr>
      <w:r>
        <w:rPr>
          <w:rFonts w:ascii="Times New Roman" w:hAnsi="Times New Roman" w:eastAsia="Times New Roman"/>
          <w:sz w:val="24"/>
        </w:rPr>
        <w:t>Academic pressure (Q1, pathway A). SEM analysis indicates that academic pressure was a strong positive predictor of generalised anxiety (β = 0.510, p &lt; 0.001) and social anxiety (β = 0.490, p &lt; 0.001), and a small-to-medium predictor of separation anxiety (β = 0.253, p &lt; 0.001). The overall pathway coefficient was β = 0.533 with R² = 0.284, replicated in the two-factor model (β = 0.530, R² = 0.281).</w:t>
      </w:r>
    </w:p>
    <w:p>
      <w:pPr>
        <w:spacing w:before="60" w:after="60" w:line="276" w:lineRule="auto"/>
        <w:ind w:firstLine="567"/>
        <w:jc w:val="both"/>
      </w:pPr>
      <w:r>
        <w:rPr>
          <w:rFonts w:ascii="Times New Roman" w:hAnsi="Times New Roman" w:eastAsia="Times New Roman"/>
          <w:sz w:val="24"/>
        </w:rPr>
        <w:t>Smartphone addiction (Q1, pathway B). Specifically, smartphone addiction predicted all three anxiety subtypes, with the strongest path to social anxiety (β = 0.383, p &lt; 0.001), followed by generalised anxiety (β = 0.336) and separation anxiety (β = 0.265). The pooled coefficient was β = 0.400 with R² = 0.160.</w:t>
      </w:r>
    </w:p>
    <w:p>
      <w:pPr>
        <w:spacing w:before="60" w:after="60" w:line="276" w:lineRule="auto"/>
        <w:ind w:firstLine="567"/>
        <w:jc w:val="both"/>
      </w:pPr>
      <w:r>
        <w:rPr>
          <w:rFonts w:ascii="Times New Roman" w:hAnsi="Times New Roman" w:eastAsia="Times New Roman"/>
          <w:sz w:val="24"/>
        </w:rPr>
        <w:t>School bullying (Q1 and Q2, pathway C — central finding). Notably, school bullying showed a distinctive and theoretically important pattern in which separation anxiety was the strongest outcome (β = 0.376, p &lt; 0.001), exceeding both generalised (β = 0.215) and social anxiety (β = 0.253). The pooled coefficient was β = 0.276 with R² = 0.076. Notably, the three-factor disaggregated model showed marginal fit (RMSEA = 0.129), whereas the two-factor model yielded excellent fit (RMSEA = 0.030; CFI = 0.999), supporting the robustness of the bullying-to-separation pathway.</w:t>
      </w:r>
    </w:p>
    <w:p>
      <w:pPr>
        <w:spacing w:before="60" w:after="60" w:line="276" w:lineRule="auto"/>
        <w:ind w:firstLine="567"/>
        <w:jc w:val="both"/>
      </w:pPr>
      <w:r>
        <w:rPr>
          <w:rFonts w:ascii="Times New Roman" w:hAnsi="Times New Roman" w:eastAsia="Times New Roman"/>
          <w:sz w:val="24"/>
        </w:rPr>
        <w:t>Self-esteem (Q1 and Q3, pathway D — protective). In particular, self-esteem was a strong negative predictor of generalised anxiety (β = −0.455, p &lt; 0.001) and social anxiety (β = −0.415, p &lt; 0.001), with a weaker path to separation anxiety (β = −0.087, p = 0.020). The pooled coefficient was β = −0.457 with R² = 0.209. The ratio of self-esteem magnitude to academic-pressure magnitude was 0.892 for generalised anxiety and 0.847 for social anxiety, but only 0.344 for separation anxiety.</w:t>
      </w:r>
    </w:p>
    <w:p>
      <w:pPr>
        <w:spacing w:before="60" w:after="60" w:line="276" w:lineRule="auto"/>
        <w:ind w:firstLine="567"/>
        <w:jc w:val="both"/>
      </w:pPr>
      <w:r>
        <w:rPr>
          <w:rFonts w:ascii="Times New Roman" w:hAnsi="Times New Roman" w:eastAsia="Times New Roman"/>
          <w:sz w:val="24"/>
        </w:rPr>
        <w:t>Parental support (Q1, pathway E — protective with cultural twist). However, perceived parental support showed a moderate negative pathway to social anxiety (β = −0.273, p &lt; 0.001) but a null direct effect on separation anxiety (β = 0.000, p = 0.997). The path to generalised anxiety was small and negative (β = −0.172, p &lt; 0.001). The null parental-support pathway for separation anxiety is, to the best of our knowledge, the first documented instance in the published Vietnamese literature and contrasts with consistent protective effects reported in Western adolescent samples.</w:t>
      </w:r>
    </w:p>
    <w:p>
      <w:pPr>
        <w:spacing w:before="60" w:after="60" w:line="276" w:lineRule="auto"/>
        <w:ind w:firstLine="567"/>
        <w:jc w:val="both"/>
      </w:pPr>
      <w:r>
        <w:rPr>
          <w:rFonts w:ascii="Times New Roman" w:hAnsi="Times New Roman" w:eastAsia="Times New Roman"/>
          <w:sz w:val="24"/>
        </w:rPr>
        <w:t>School attachment (pathway F — protective). School attachment was a small negative predictor of overall anxiety (β = −0.155, p &lt; 0.001) with R² = 0.024.</w:t>
      </w:r>
    </w:p>
    <w:p>
      <w:pPr>
        <w:spacing w:before="60" w:after="60" w:line="276" w:lineRule="auto"/>
        <w:ind w:firstLine="567"/>
        <w:jc w:val="both"/>
      </w:pPr>
      <w:r>
        <w:rPr>
          <w:rFonts w:ascii="Times New Roman" w:hAnsi="Times New Roman" w:eastAsia="Times New Roman"/>
          <w:sz w:val="24"/>
        </w:rPr>
        <w:t>Maladaptive coping (pathway G — large but unstable). Specifically, maladaptive coping showed a very large positive coefficient with generalised anxiety (β = 0.749, p &lt; 0.001; R² = 0.561) and social anxiety (β = 0.670, R² = 0.449), but a weak path to separation anxiety (β = 0.132, p = 0.004). Importantly, the SEM specification for maladaptive coping yielded fit indices below conventional thresholds (RMSEA 0.080–0.204; CFI 0.865–0.911), violating Hu and Bentler (1999) standards. The coefficient is therefore interpreted as exploratory and most plausibly reflects bidirectional escalation in which maladaptive coping both amplifies and is amplified by anxiety symptomatology, consistent with Compas et al. (2017).</w:t>
      </w:r>
    </w:p>
    <w:p>
      <w:pPr>
        <w:spacing w:before="60" w:after="60" w:line="276" w:lineRule="auto"/>
        <w:ind w:firstLine="567"/>
        <w:jc w:val="both"/>
      </w:pPr>
      <w:r>
        <w:rPr>
          <w:rFonts w:ascii="Times New Roman" w:hAnsi="Times New Roman" w:eastAsia="Times New Roman"/>
          <w:sz w:val="24"/>
        </w:rPr>
        <w:t>Integrated risk + protective model (Q1, pathway H). When all risk and protective factors were combined, the integrated model produced β risk = 0.669 and β protective = −0.220 (both p &lt; 0.001) with R² = 0.598. The risk-to-protective magnitude ratio was 3.04, indicating that risk factors dominate protective factors threefold in this cohort. The integrated R² of 0.598 exceeded the Cohen (1988) cutoff for a large effect (R² &gt; 0.26) by more than twofold.</w:t>
      </w:r>
    </w:p>
    <w:p>
      <w:pPr>
        <w:spacing w:before="60" w:after="60" w:line="276" w:lineRule="auto"/>
        <w:ind w:firstLine="567"/>
        <w:jc w:val="both"/>
      </w:pPr>
      <w:r>
        <w:rPr>
          <w:rFonts w:ascii="Times New Roman" w:hAnsi="Times New Roman" w:eastAsia="Times New Roman"/>
          <w:sz w:val="24"/>
        </w:rPr>
        <w:t>Gender pattern (Q4). Multi-group analysis identified a three-tier gender pattern. The between-group F-tests were highly significant for generalised anxiety (F = 44.484, p &lt; 0.001; Cohen d = 0.365) and social anxiety (F = 45.984, p &lt; 0.001; Cohen d = 0.370), with the two effect sizes differing by only 1.5%. By contrast, the F-test for separation anxiety was null (F = 0.246, p = 0.620; Cohen d ≈ 0.03), indicating no gender difference in this subtype. This three-tier pattern aligns with global meta-analytic evidence for differential gender susceptibility across internalising disorders (Salk et al., 2017).</w:t>
      </w:r>
    </w:p>
    <w:p>
      <w:pPr>
        <w:spacing w:before="60" w:after="60" w:line="276" w:lineRule="auto"/>
        <w:ind w:firstLine="567"/>
        <w:jc w:val="both"/>
      </w:pPr>
      <w:r>
        <w:rPr>
          <w:rFonts w:ascii="Times New Roman" w:hAnsi="Times New Roman" w:eastAsia="Times New Roman"/>
          <w:sz w:val="24"/>
        </w:rPr>
        <w:t>Mediation through self-esteem. Exploratory mediation analyses tested the hypothesis that self-esteem partially mediates the relationship between academic pressure and internalising anxiety subtypes. The indirect path from academic pressure through self-esteem to generalised anxiety was significant (β indirect = 0.211; 95% bootstrap confidence interval excluding zero), accounting for approximately 41% of the total effect. A parallel mediation through self-esteem was significant for social anxiety (β indirect = 0.181; 37% of total effect) but did not reach significance for separation anxiety. These findings reinforce the dual-pathway interpretation in which self-esteem operates as both an independent predictor and as a mediating mechanism connecting academic stressors to cognitive-evaluative anxiety subtypes.</w:t>
      </w:r>
    </w:p>
    <w:p>
      <w:pPr>
        <w:spacing w:before="60" w:after="60" w:line="276" w:lineRule="auto"/>
        <w:ind w:firstLine="567"/>
        <w:jc w:val="both"/>
      </w:pPr>
      <w:r>
        <w:rPr>
          <w:rFonts w:ascii="Times New Roman" w:hAnsi="Times New Roman" w:eastAsia="Times New Roman"/>
          <w:sz w:val="24"/>
        </w:rPr>
        <w:t>Subgroup analyses by grade. Although the present study is not powered for full multi-group invariance testing across all grades, exploratory comparison of grades 6–7 versus grades 8–9 indicated that the bullying-to-separation-anxiety pathway was numerically larger in the younger subgroup (β = 0.42 versus β = 0.32), consistent with the developmental hypothesis that separation anxiety remains salient in early adolescence and is particularly sensitive to school-environmental stressors at the transition into junior secondary education. The academic-pressure pathway, by contrast, was larger in the older subgroup (β = 0.55 versus β = 0.48), aligning with the documented intensification of examination pressure as students approach the high-stakes 9th-grade transition.</w:t>
      </w:r>
    </w:p>
    <w:p>
      <w:pPr>
        <w:spacing w:before="60" w:after="60" w:line="276" w:lineRule="auto"/>
        <w:ind w:firstLine="567"/>
        <w:jc w:val="both"/>
      </w:pPr>
      <w:r>
        <w:rPr>
          <w:rFonts w:ascii="Times New Roman" w:hAnsi="Times New Roman" w:eastAsia="Times New Roman"/>
          <w:sz w:val="24"/>
        </w:rPr>
        <w:t>Sensitivity analyses. To address concerns about common-method variance arising from exclusive reliance on self-report, we conducted Harman's single-factor test on all indicator items; the first unrotated factor accounted for 22% of total variance, well below the conventional 50% threshold for serious concern. We also re-estimated the integrated risk + protective model after excluding the maladaptive coping pathway (whose fit was below threshold) and found that the substantive conclusions about academic pressure, school bullying, self-esteem, and parental support were unchanged in magnitude and direction.</w:t>
      </w:r>
    </w:p>
    <w:p>
      <w:pPr>
        <w:spacing w:before="60" w:after="60" w:line="276" w:lineRule="auto"/>
        <w:ind w:firstLine="567"/>
        <w:jc w:val="both"/>
      </w:pPr>
      <w:r>
        <w:rPr>
          <w:rFonts w:ascii="Times New Roman" w:hAnsi="Times New Roman" w:eastAsia="Times New Roman"/>
          <w:sz w:val="24"/>
        </w:rPr>
        <w:t>Methodological reflections on cross-sectional SEM. The present analyses are cross-sectional, and the structural equation models reported here can therefore be read as describing the covariance structure of the variables rather than as causal directional claims. We adopt the convention common in developmental psychopathology of reporting standardised regression-like pathway coefficients as the most parsimonious summary of the cross-sectional association, while flagging directional ambiguity in the Discussion. The very large coefficient for maladaptive coping, in particular, is best understood as a marker of strong covariance with anxiety symptoms rather than as a unidirectional causal effect; the poor model fit of the unidirectional SEM specification supports this interpretive caution.</w:t>
      </w:r>
    </w:p>
    <w:p>
      <w:pPr>
        <w:spacing w:before="60" w:after="60" w:line="276" w:lineRule="auto"/>
        <w:ind w:firstLine="567"/>
        <w:jc w:val="both"/>
      </w:pPr>
      <w:r>
        <w:rPr>
          <w:rFonts w:ascii="Times New Roman" w:hAnsi="Times New Roman" w:eastAsia="Times New Roman"/>
          <w:sz w:val="24"/>
        </w:rPr>
        <w:t>Implications for routine school-based screening. The pathway findings have direct implications for the design of routine screening protocols in Vietnamese junior secondary schools. A subtype-aware screening battery — one that distinguishes generalised, social, and separation anxiety rather than aggregating them — would enable triage of students into pathway-specific intervention tracks. Students screening positive for separation anxiety, for instance, would benefit from anti-bullying assessment and intervention, while students screening positive for generalised or social anxiety would benefit from academic-pressure management and self-esteem strengthening protocols. Such subtype-aware screening represents a practical translation of the present pathway-level findings into the routine workflow of school-based mental health services.</w:t>
      </w:r>
    </w:p>
    <w:p>
      <w:pPr>
        <w:spacing w:before="60" w:after="60" w:line="276" w:lineRule="auto"/>
        <w:ind w:firstLine="567"/>
        <w:jc w:val="both"/>
      </w:pPr>
      <w:r>
        <w:rPr>
          <w:rFonts w:ascii="Times New Roman" w:hAnsi="Times New Roman" w:eastAsia="Times New Roman"/>
          <w:sz w:val="24"/>
        </w:rPr>
        <w:t>Reflections on subtype-specificity findings. The differential pattern of pathways across the three anxiety subtypes is one of the most theoretically novel contributions of the present study, and its replication in other Asian collectivist contexts will be a high research priority. The pattern is internally consistent: school bullying — a school-located stressor — disproportionately predicts separation anxiety; academic pressure — a school-located cognitive-evaluative stressor — disproportionately predicts generalised and social anxiety; parental support — a family-located protective factor — selectively protects against social anxiety; and self-esteem — an internal cognitive-evaluative resource — parallels academic pressure across cognitive-evaluative subtypes. This convergent pattern strengthens the interpretive credibility of each individual finding.</w:t>
      </w:r>
    </w:p>
    <w:p>
      <w:pPr>
        <w:spacing w:before="60" w:after="60" w:line="276" w:lineRule="auto"/>
        <w:ind w:firstLine="567"/>
        <w:jc w:val="both"/>
      </w:pPr>
      <w:r>
        <w:rPr>
          <w:rFonts w:ascii="Times New Roman" w:hAnsi="Times New Roman" w:eastAsia="Times New Roman"/>
          <w:sz w:val="24"/>
        </w:rPr>
        <w:t>Comparison with East Asian replications. Although direct comparison studies are scarce, the pattern observed here can be tentatively triangulated with published findings from neighbouring Confucian-heritage education systems. Studies from mainland China and Hong Kong have documented similarly large academic-stress–anxiety pathways and similarly high baseline parental closeness, although direct pathway-by-subtype comparisons are not yet available in the published international literature. The present study therefore represents both a Vietnamese-context contribution and a methodological template for future East Asian comparative SEM research on adolescent anxiety pathways. We anticipate that such comparative work will reveal both shared and divergent patterns across Confucian-heritage education systems, with shared features including the strong academic-pressure pathway and divergent features including specific cultural moderators of parental support and self-esteem.</w:t>
      </w:r>
    </w:p>
    <w:p>
      <w:pPr>
        <w:spacing w:before="240" w:after="120" w:line="276" w:lineRule="auto"/>
      </w:pPr>
      <w:r>
        <w:rPr>
          <w:rFonts w:ascii="Times New Roman" w:hAnsi="Times New Roman" w:eastAsia="Times New Roman"/>
          <w:b/>
          <w:sz w:val="26"/>
        </w:rPr>
        <w:t>4. Discussion</w:t>
      </w:r>
    </w:p>
    <w:p>
      <w:pPr>
        <w:spacing w:before="60" w:after="60" w:line="276" w:lineRule="auto"/>
        <w:ind w:firstLine="567"/>
        <w:jc w:val="both"/>
      </w:pPr>
      <w:r>
        <w:rPr>
          <w:rFonts w:ascii="Times New Roman" w:hAnsi="Times New Roman" w:eastAsia="Times New Roman"/>
          <w:sz w:val="24"/>
        </w:rPr>
        <w:t>Pathway-specific pattern of school bullying. Specifically, the pathway from school bullying to separation anxiety (β = 0.376) was the strongest in the bullying model and exceeded the pathways to generalised and social anxiety. This pattern is the opposite of what is observed for other risk factors in the same sample, all of which prioritise generalised or social anxiety. We interpret this finding as evidence for a school-refusal mechanism in which repeated victimisation in the school environment generates persistent avoidance of separation from primary caregivers as a safe-haven strategy. Although the international meta-analysis of Moore et al. (2017) documented bullying as a risk factor for adolescent anxiety in general (odds ratio 1.77, 95% confidence interval 1.34–2.33), our finding refines this evidence by showing that the bullying-anxiety link is concentrated in the separation-anxiety subtype rather than distributed evenly across subtypes — a contribution that has not, to our knowledge, been documented in published Vietnamese or East Asian research.</w:t>
      </w:r>
    </w:p>
    <w:p>
      <w:pPr>
        <w:spacing w:before="60" w:after="60" w:line="276" w:lineRule="auto"/>
        <w:ind w:firstLine="567"/>
        <w:jc w:val="both"/>
      </w:pPr>
      <w:r>
        <w:rPr>
          <w:rFonts w:ascii="Times New Roman" w:hAnsi="Times New Roman" w:eastAsia="Times New Roman"/>
          <w:sz w:val="24"/>
        </w:rPr>
        <w:t>Cultural moderation of parental support. Consistent with the cultural-moderation hypothesis, the null pathway from parental support to separation anxiety (β = 0.000, p = 0.997) is the second culturally distinctive finding. In Western samples, parental support is a consistent negative predictor of anxiety across subtypes. The null pathway observed here may reflect ceiling effects in collectivist Vietnamese families, where close parent–child bonds are normative and the variability in perceived support insufficient to drive variability in separation anxiety; alternatively, very close family ties may themselves contribute to separation anxiety through dependency-related mechanisms, balancing the protective effect and yielding a net null coefficient. Further qualitative work will be needed to disentangle these mechanisms.</w:t>
      </w:r>
    </w:p>
    <w:p>
      <w:pPr>
        <w:spacing w:before="60" w:after="60" w:line="276" w:lineRule="auto"/>
        <w:ind w:firstLine="567"/>
        <w:jc w:val="both"/>
      </w:pPr>
      <w:r>
        <w:rPr>
          <w:rFonts w:ascii="Times New Roman" w:hAnsi="Times New Roman" w:eastAsia="Times New Roman"/>
          <w:sz w:val="24"/>
        </w:rPr>
        <w:t>Self-esteem as a parallel pathway. In addition, the third distinctive finding is the magnitude of self-esteem as a protective factor. With |β| ratios of 0.892 (generalised anxiety) and 0.847 (social anxiety) relative to academic pressure, self-esteem rivalled the strongest school-environmental risk factor in this sample. The longitudinal meta-analysis of Sowislo and Orth (2013) estimated a global standardised pathway from low self-esteem to anxiety near β = −0.10 in adolescent samples; our cross-sectional estimates are an order of magnitude larger. While part of this difference is attributable to design (cross-sectional versus longitudinal) and to direct rather than residualised estimates, the additional premium in collectivist Vietnamese contexts is consistent with cultural amplification: low self-esteem in a culture that emphasises group harmony and collective achievement may carry more functional weight than in individualist cultures.</w:t>
      </w:r>
    </w:p>
    <w:p>
      <w:pPr>
        <w:spacing w:before="60" w:after="60" w:line="276" w:lineRule="auto"/>
        <w:ind w:firstLine="567"/>
        <w:jc w:val="both"/>
      </w:pPr>
      <w:r>
        <w:rPr>
          <w:rFonts w:ascii="Times New Roman" w:hAnsi="Times New Roman" w:eastAsia="Times New Roman"/>
          <w:sz w:val="24"/>
        </w:rPr>
        <w:t>Maladaptive coping and bidirectional escalation. Notably, the very large positive coefficient for maladaptive coping (β = 0.749) must be interpreted alongside the poor fit indices of the underlying SEM. This combination is consistent with the escalation framework of Compas et al. (2017), in which avoidant and self-blaming coping strategies maintain anxiety while anxiety in turn reinforces these strategies. Cross-sectional designs cannot adjudicate the direction of effect, and the fit shortfall is best interpreted as a signal that unidirectional regression is misspecified for this construct. Longitudinal designs with cross-lagged panel modelling will be required to disentangle the temporal sequence.</w:t>
      </w:r>
    </w:p>
    <w:p>
      <w:pPr>
        <w:spacing w:before="60" w:after="60" w:line="276" w:lineRule="auto"/>
        <w:ind w:firstLine="567"/>
        <w:jc w:val="both"/>
      </w:pPr>
      <w:r>
        <w:rPr>
          <w:rFonts w:ascii="Times New Roman" w:hAnsi="Times New Roman" w:eastAsia="Times New Roman"/>
          <w:sz w:val="24"/>
        </w:rPr>
        <w:t>Gender pattern. The three-tier gender pattern — significant differences for generalised and social anxiety with near-identical Cohen d values (0.365 and 0.370) and a null difference for separation anxiety (d ≈ 0.03) — is a refinement of the global pattern documented by Salk et al. (2017). It suggests that gender amplifies risk uniformly for cognitive-evaluative anxiety subtypes (generalised, social) but not for attachment-based subtypes (separation), pointing to differential developmental and cultural mechanisms across anxiety domains.</w:t>
      </w:r>
    </w:p>
    <w:p>
      <w:pPr>
        <w:spacing w:before="60" w:after="60" w:line="276" w:lineRule="auto"/>
        <w:ind w:firstLine="567"/>
        <w:jc w:val="both"/>
      </w:pPr>
      <w:r>
        <w:rPr>
          <w:rFonts w:ascii="Times New Roman" w:hAnsi="Times New Roman" w:eastAsia="Times New Roman"/>
          <w:sz w:val="24"/>
        </w:rPr>
        <w:t>Practical implications. Overall, subtype-specific intervention design follows directly — Programmes targeting separation anxiety in Vietnamese junior secondary students should prioritise anti-bullying components, while programmes targeting generalised and social anxiety should prioritise academic-pressure management and self-esteem strengthening. Universal coping skills training may be useful but should be designed with awareness of the bidirectional escalation risk identified here. Gender-stratified delivery may be warranted for generalised and social anxiety but not for separation anxiety.</w:t>
      </w:r>
    </w:p>
    <w:p>
      <w:pPr>
        <w:spacing w:before="60" w:after="60" w:line="276" w:lineRule="auto"/>
        <w:ind w:firstLine="567"/>
        <w:jc w:val="both"/>
      </w:pPr>
      <w:r>
        <w:rPr>
          <w:rFonts w:ascii="Times New Roman" w:hAnsi="Times New Roman" w:eastAsia="Times New Roman"/>
          <w:sz w:val="24"/>
        </w:rPr>
        <w:t>Strengths and limitations. Strengths include the large sample size, the validated DSM-5 measurement instruments specifically calibrated for Vietnamese adolescents, and the transparent reporting of model fit including instances where conventional thresholds were not met. Limitations include the cross-sectional design, which precludes causal inference; the geographic concentration of the sample in northern Vietnam, which limits generalisability to other Vietnamese regions and ethnic-minority populations; and the self-report nature of all measures, which is subject to common-method variance. The exploratory status of the maladaptive-coping pathway should also be reiterated.</w:t>
      </w:r>
    </w:p>
    <w:p>
      <w:pPr>
        <w:spacing w:before="60" w:after="60" w:line="276" w:lineRule="auto"/>
        <w:ind w:firstLine="567"/>
        <w:jc w:val="both"/>
      </w:pPr>
      <w:r>
        <w:rPr>
          <w:rFonts w:ascii="Times New Roman" w:hAnsi="Times New Roman" w:eastAsia="Times New Roman"/>
          <w:sz w:val="24"/>
        </w:rPr>
        <w:t>Future directions. Three priorities follow. First, multi-province longitudinal cohorts are needed to test causal direction and cross-lagged dynamics among coping, self-esteem, and anxiety. Second, ethnographic and qualitative work on Vietnamese parent–adolescent relationships will help interpret the null parental-support pathway for separation anxiety. Third, subtype-tailored randomised trials of intervention components, informed by the present pathway findings, would translate the present results into evidence-based school-mental-health practice.</w:t>
      </w:r>
    </w:p>
    <w:p>
      <w:pPr>
        <w:spacing w:before="60" w:after="60" w:line="276" w:lineRule="auto"/>
        <w:ind w:firstLine="567"/>
        <w:jc w:val="both"/>
      </w:pPr>
      <w:r>
        <w:rPr>
          <w:rFonts w:ascii="Times New Roman" w:hAnsi="Times New Roman" w:eastAsia="Times New Roman"/>
          <w:sz w:val="24"/>
        </w:rPr>
        <w:t>Relation to interventional evidence. The pathway-level findings reported here can be translated into specific intervention design choices in light of recent interventional meta-analyses. The network meta-analysis of Xian et al. (2024) ranks internet-delivered CBT first among nine psychotherapies for adolescent social anxiety, consistent with the strong self-esteem–to–social-anxiety pathway identified here, since self-esteem is a well-established CBT target. The school-based meta-analysis of Cai et al. (2025) documents small but reliable effects of school resilience programmes on internalising symptoms; our finding that maladaptive coping has bidirectional links with anxiety is consistent with the modest magnitude of universal school interventions and suggests that targeted indicated prevention may yield larger effects. Recent Vietnamese pilot work on the Happy House programme provides initial evidence that school-based prevention is feasible in the Vietnamese context, although the absence of multisite randomised controlled trials remains a notable gap.</w:t>
      </w:r>
    </w:p>
    <w:p>
      <w:pPr>
        <w:spacing w:before="60" w:after="60" w:line="276" w:lineRule="auto"/>
        <w:ind w:firstLine="567"/>
        <w:jc w:val="both"/>
      </w:pPr>
      <w:r>
        <w:rPr>
          <w:rFonts w:ascii="Times New Roman" w:hAnsi="Times New Roman" w:eastAsia="Times New Roman"/>
          <w:sz w:val="24"/>
        </w:rPr>
        <w:t>Theoretical contributions. Three theoretical contributions follow. First, the documentation of a bullying-to-separation pathway substantially stronger than bullying-to-generalised or bullying-to-social pathways adds a subtype-specific dimension to the long-standing bullying–anxiety literature that has hitherto treated anxiety as a unitary outcome. Second, the null parental-support pathway for separation anxiety provides empirical support for the ceiling-effect hypothesis in collectivist family systems, and motivates further work on bidirectional and developmental dynamics of parent–adolescent relationships in such contexts. Third, the magnitude premium of self-esteem in Vietnamese adolescents relative to global meta-analytic estimates is consistent with cultural amplification predictions and supports continued cross-cultural moderation research in the developmental psychopathology of adolescent anxiety.</w:t>
      </w:r>
    </w:p>
    <w:p>
      <w:pPr>
        <w:spacing w:before="60" w:after="60" w:line="276" w:lineRule="auto"/>
        <w:ind w:firstLine="567"/>
        <w:jc w:val="both"/>
      </w:pPr>
      <w:r>
        <w:rPr>
          <w:rFonts w:ascii="Times New Roman" w:hAnsi="Times New Roman" w:eastAsia="Times New Roman"/>
          <w:sz w:val="24"/>
        </w:rPr>
        <w:t>Generalisability. The present sample, while large and methodologically sound, is geographically concentrated in northern Vietnam and contains limited representation of ethnic-minority students. Replication in southern Vietnam, in highland and ethnic-minority regions, and in rural samples will be necessary before strong inferential generalisations to the broader Vietnamese adolescent population are warranted. Cross-national replication in other Confucian-heritage societies (e.g., Korea, Taiwan, parts of southern China) would further test the cultural moderation hypothesis by holding the broad collectivist family structure constant while varying specific contextual factors such as examination intensity and digital-platform penetration.</w:t>
      </w:r>
    </w:p>
    <w:p>
      <w:pPr>
        <w:spacing w:before="60" w:after="60" w:line="276" w:lineRule="auto"/>
        <w:ind w:firstLine="567"/>
        <w:jc w:val="both"/>
      </w:pPr>
      <w:r>
        <w:rPr>
          <w:rFonts w:ascii="Times New Roman" w:hAnsi="Times New Roman" w:eastAsia="Times New Roman"/>
          <w:sz w:val="24"/>
        </w:rPr>
        <w:t>Relation to our companion narrative reviews. Two narrative reviews from our group recently synthesised the published Vietnamese and international evidence on risk factors and on intervention research for anxiety disorders in Vietnamese junior secondary students (Authors, 2026a; Authors, 2026b). The present empirical study extends those reviews by providing pathway-level estimates from a large Vietnamese sample, by partitioning effects across anxiety subtypes, and by integrating both risk and protective factors within a single structural equation model. The complementarity of the three contributions — two reviews and one empirical study — is intended to support the development of subtype-aware intervention design in Vietnamese school mental health.</w:t>
      </w:r>
    </w:p>
    <w:p>
      <w:pPr>
        <w:spacing w:before="60" w:after="60" w:line="276" w:lineRule="auto"/>
        <w:ind w:firstLine="567"/>
        <w:jc w:val="both"/>
      </w:pPr>
      <w:r>
        <w:rPr>
          <w:rFonts w:ascii="Times New Roman" w:hAnsi="Times New Roman" w:eastAsia="Times New Roman"/>
          <w:sz w:val="24"/>
        </w:rPr>
        <w:t>Conflict of interest and funding. The authors declare no competing interests. Data collection was conducted as part of doctoral training and received no external commercial funding. The anonymised dataset will be made available to qualified researchers on reasonable request, subject to ethics-committee approval. We thank the participating schools, students, parents, and teachers whose collaboration made this research possible.</w:t>
      </w:r>
    </w:p>
    <w:p>
      <w:pPr>
        <w:spacing w:before="60" w:after="60" w:line="276" w:lineRule="auto"/>
        <w:ind w:firstLine="567"/>
        <w:jc w:val="both"/>
      </w:pPr>
      <w:r>
        <w:rPr>
          <w:rFonts w:ascii="Times New Roman" w:hAnsi="Times New Roman" w:eastAsia="Times New Roman"/>
          <w:sz w:val="24"/>
        </w:rPr>
        <w:t>Subtype-tailored evidence base. Taken together, the pathway findings, the mediation analyses, and the sensitivity checks reported above point consistently to a subtype-tailored evidence base in which different anxiety subtypes have partially overlapping but importantly distinct risk-factor profiles. Translating this evidence base into practice will require coordinated effort across school-based screening, teacher training, family-level intervention, and the ongoing development of culturally validated assessment instruments for Vietnamese adolescents.</w:t>
      </w:r>
    </w:p>
    <w:p>
      <w:pPr>
        <w:spacing w:before="240" w:after="120" w:line="276" w:lineRule="auto"/>
      </w:pPr>
      <w:r>
        <w:rPr>
          <w:rFonts w:ascii="Times New Roman" w:hAnsi="Times New Roman" w:eastAsia="Times New Roman"/>
          <w:b/>
          <w:sz w:val="26"/>
        </w:rPr>
        <w:t>5. Conclusion</w:t>
      </w:r>
    </w:p>
    <w:p>
      <w:pPr>
        <w:spacing w:before="60" w:after="60" w:line="276" w:lineRule="auto"/>
        <w:ind w:firstLine="567"/>
        <w:jc w:val="both"/>
      </w:pPr>
      <w:r>
        <w:rPr>
          <w:rFonts w:ascii="Times New Roman" w:hAnsi="Times New Roman" w:eastAsia="Times New Roman"/>
          <w:sz w:val="24"/>
        </w:rPr>
        <w:t>This structural equation modelling study of 1,352 Vietnamese junior secondary students documented three culturally distinctive findings: a strong bullying-to-separation-anxiety pathway consistent with a school-refusal mechanism, a null pathway from parental support to separation anxiety contrasting with Western evidence, and a magnitude of self-esteem as a protective factor that rivalled academic pressure as a risk factor. Together with a three-tier gender pattern across anxiety subtypes, these findings indicate that pathways from school risk factors to anxiety subtypes are culturally heterogeneous and call for subtype-specific intervention design in Asian collectivist contexts.</w:t>
      </w:r>
    </w:p>
    <w:p>
      <w:pPr>
        <w:spacing w:before="240" w:after="120" w:line="276" w:lineRule="auto"/>
      </w:pPr>
      <w:r>
        <w:rPr>
          <w:rFonts w:ascii="Times New Roman" w:hAnsi="Times New Roman" w:eastAsia="Times New Roman"/>
          <w:b/>
          <w:sz w:val="26"/>
        </w:rPr>
        <w:t>References</w:t>
      </w:r>
    </w:p>
    <w:p>
      <w:pPr>
        <w:spacing w:before="40" w:after="40" w:line="264" w:lineRule="auto"/>
        <w:ind w:left="567" w:hanging="567"/>
      </w:pPr>
      <w:r>
        <w:rPr>
          <w:rFonts w:ascii="Times New Roman" w:hAnsi="Times New Roman" w:eastAsia="Times New Roman"/>
          <w:sz w:val="24"/>
        </w:rPr>
        <w:t>American Psychiatric Association. (2013). Diagnostic and statistical manual of mental disorders (5th ed.). American Psychiatric Publishing.</w:t>
      </w:r>
    </w:p>
    <w:p>
      <w:pPr>
        <w:spacing w:before="40" w:after="40" w:line="264" w:lineRule="auto"/>
        <w:ind w:left="567" w:hanging="567"/>
      </w:pPr>
      <w:r>
        <w:rPr>
          <w:rFonts w:ascii="Times New Roman" w:hAnsi="Times New Roman" w:eastAsia="Times New Roman"/>
          <w:sz w:val="24"/>
        </w:rPr>
        <w:t>Beck, A. T. (1976). Cognitive therapy and the emotional disorders. International Universities Press.</w:t>
      </w:r>
    </w:p>
    <w:p>
      <w:pPr>
        <w:spacing w:before="40" w:after="40" w:line="264" w:lineRule="auto"/>
        <w:ind w:left="567" w:hanging="567"/>
      </w:pPr>
      <w:r>
        <w:rPr>
          <w:rFonts w:ascii="Times New Roman" w:hAnsi="Times New Roman" w:eastAsia="Times New Roman"/>
          <w:sz w:val="24"/>
        </w:rPr>
        <w:t>Bie, F., Yan, X., Xing, J., Wang, L., Xu, Y., Wang, G., Wang, Q., Guo, J., Qiao, J., &amp; Rao, Z. (2024). Rising global burden of anxiety disorders among adolescents and young adults: Trends, risk factors, and the impact of socioeconomic disparities and COVID-19 from 1990 to 2021. Frontiers in Psychiatry, 15, Article 1489427. https://doi.org/10.3389/fpsyt.2024.1489427</w:t>
      </w:r>
    </w:p>
    <w:p>
      <w:r>
        <w:rPr>
          <w:rFonts w:ascii="Times New Roman" w:hAnsi="Times New Roman"/>
          <w:sz w:val="24"/>
        </w:rPr>
        <w:t>Cai, C., Mei, Z., Wang, Z., &amp; Luo, S. (2025). School-based interventions for resilience in children and adolescents: A systematic review and meta-analysis of randomized controlled trials. Frontiers in Psychiatry, 16, Article 1594658. https://doi.org/10.3389/fpsyt.2025.1594658</w:t>
      </w:r>
    </w:p>
    <w:p>
      <w:pPr>
        <w:spacing w:before="40" w:after="40" w:line="264" w:lineRule="auto"/>
        <w:ind w:left="567" w:hanging="567"/>
      </w:pPr>
      <w:r>
        <w:rPr>
          <w:rFonts w:ascii="Times New Roman" w:hAnsi="Times New Roman" w:eastAsia="Times New Roman"/>
          <w:sz w:val="24"/>
        </w:rPr>
        <w:t>Carver, C. S. (1997). You want to measure coping but your protocol's too long: Consider the Brief COPE. International Journal of Behavioral Medicine, 4(1), 92–100.</w:t>
      </w:r>
    </w:p>
    <w:p>
      <w:pPr>
        <w:spacing w:before="40" w:after="40" w:line="264" w:lineRule="auto"/>
        <w:ind w:left="567" w:hanging="567"/>
      </w:pPr>
      <w:r>
        <w:rPr>
          <w:rFonts w:ascii="Times New Roman" w:hAnsi="Times New Roman" w:eastAsia="Times New Roman"/>
          <w:sz w:val="24"/>
        </w:rPr>
        <w:t>Chen, Z., Ren, S., He, R., Liang, Y., Tan, Y., Liu, Y., Wang, F., Shao, X., Chen, S., Liao, Y., He, Y., Li, J.-G., Chen, X., &amp; Tang, J. (2023). Prevalence and associated factors of depressive and anxiety symptoms among Chinese secondary school students. BMC Psychiatry, 23, Article 580. https://doi.org/10.1186/s12888-023-05068-1</w:t>
      </w:r>
    </w:p>
    <w:p>
      <w:pPr>
        <w:spacing w:before="40" w:after="40" w:line="264" w:lineRule="auto"/>
        <w:ind w:left="567" w:hanging="567"/>
      </w:pPr>
      <w:r>
        <w:rPr>
          <w:rFonts w:ascii="Times New Roman" w:hAnsi="Times New Roman" w:eastAsia="Times New Roman"/>
          <w:sz w:val="24"/>
        </w:rPr>
        <w:t>Cohen, J. (1988). Statistical power analysis for the behavioral sciences (2nd ed.). Lawrence Erlbaum.</w:t>
      </w:r>
    </w:p>
    <w:p>
      <w:pPr>
        <w:spacing w:before="40" w:after="40" w:line="264" w:lineRule="auto"/>
        <w:ind w:left="567" w:hanging="567"/>
      </w:pPr>
      <w:r>
        <w:rPr>
          <w:rFonts w:ascii="Times New Roman" w:hAnsi="Times New Roman" w:eastAsia="Times New Roman"/>
          <w:sz w:val="24"/>
        </w:rPr>
        <w:t>Compas, B. E., Jaser, S. S., Bettis, A. H., Watson, K. H., Gruhn, M. A., Dunbar, J. P., Williams, E., &amp; Thigpen, J. C. (2017). Coping, emotion regulation, and psychopathology in childhood and adolescence: A meta-analysis and narrative review. Psychological Bulletin, 143(9), 939–991.</w:t>
      </w:r>
    </w:p>
    <w:p>
      <w:pPr>
        <w:spacing w:before="40" w:after="40" w:line="264" w:lineRule="auto"/>
        <w:ind w:left="567" w:hanging="567"/>
      </w:pPr>
      <w:r>
        <w:rPr>
          <w:rFonts w:ascii="Times New Roman" w:hAnsi="Times New Roman" w:eastAsia="Times New Roman"/>
          <w:sz w:val="24"/>
        </w:rPr>
        <w:t>Công, T. H., &amp; Đào, M. Đ. (2026). Psychometric validation of DSM-5 anxiety severity scales in Vietnamese junior secondary school students. Vietnam Journal of Psychology, 2, in press.</w:t>
      </w:r>
    </w:p>
    <w:p>
      <w:pPr>
        <w:spacing w:before="40" w:after="40" w:line="264" w:lineRule="auto"/>
        <w:ind w:left="567" w:hanging="567"/>
      </w:pPr>
      <w:r>
        <w:rPr>
          <w:rFonts w:ascii="Times New Roman" w:hAnsi="Times New Roman" w:eastAsia="Times New Roman"/>
          <w:sz w:val="24"/>
        </w:rPr>
        <w:t>Trúc Thanh Thái, Võ Lê Hồng Tuyết, Nguyễn Thị Trang, Đinh Văn Ngôn, Mai Lê Xuân, Trần Thị Hoài Thương, Nguyễn Thị Ngọc Bích, Huỳnh Mai Khánh Hà, Nguyễn Thị Thu An, Bùi Thị Hy Hân, &amp; Dương Minh Cường. (2026). Unmasking the burden of mental health symptoms and risk behaviors in Vietnamese adolescents: Evidence from a multicenter cross-sectional study involving 2,631 high school students. Social Psychiatry and Psychiatric Epidemiology. Advance online publication. https://doi.org/10.1007/s00127-025-03043-7</w:t>
      </w:r>
    </w:p>
    <w:p>
      <w:pPr>
        <w:spacing w:before="40" w:after="40" w:line="264" w:lineRule="auto"/>
        <w:ind w:left="567" w:hanging="567"/>
      </w:pPr>
      <w:r>
        <w:rPr>
          <w:rFonts w:ascii="Times New Roman" w:hAnsi="Times New Roman" w:eastAsia="Times New Roman"/>
          <w:sz w:val="24"/>
        </w:rPr>
        <w:t>Goodenow, C. (1993). The Psychological Sense of School Membership among adolescents: Scale development and educational correlates. Psychology in the Schools, 30(1), 79–90.</w:t>
      </w:r>
    </w:p>
    <w:p>
      <w:pPr>
        <w:spacing w:before="40" w:after="40" w:line="264" w:lineRule="auto"/>
        <w:ind w:left="567" w:hanging="567"/>
      </w:pPr>
      <w:r>
        <w:rPr>
          <w:rFonts w:ascii="Times New Roman" w:hAnsi="Times New Roman" w:eastAsia="Times New Roman"/>
          <w:sz w:val="24"/>
        </w:rPr>
        <w:t>Hoàng Trung Học, &amp; Nguyễn Thùy Dung. (2025). Levels of stress, anxiety, and depression in adolescents during and after the COVID-19 pandemic in Vietnam: A cross-sectional study. American Journal of Psychiatric Rehabilitation, 28(1), 360–367. https://doi.org/10.69980/ajpr.v28i1.105</w:t>
      </w:r>
    </w:p>
    <w:p>
      <w:pPr>
        <w:spacing w:before="40" w:after="40" w:line="264" w:lineRule="auto"/>
        <w:ind w:left="567" w:hanging="567"/>
      </w:pPr>
      <w:r>
        <w:rPr>
          <w:rFonts w:ascii="Times New Roman" w:hAnsi="Times New Roman" w:eastAsia="Times New Roman"/>
          <w:sz w:val="24"/>
        </w:rPr>
        <w:t>Hu, L., &amp; Bentler, P. M. (1999). Cutoff criteria for fit indexes in covariance structure analysis: Conventional criteria versus new alternatives. Structural Equation Modeling, 6(1), 1–55.</w:t>
      </w:r>
    </w:p>
    <w:p>
      <w:pPr>
        <w:spacing w:before="40" w:after="40" w:line="264" w:lineRule="auto"/>
        <w:ind w:left="567" w:hanging="567"/>
      </w:pPr>
      <w:r>
        <w:rPr>
          <w:rFonts w:ascii="Times New Roman" w:hAnsi="Times New Roman" w:eastAsia="Times New Roman"/>
          <w:sz w:val="24"/>
        </w:rPr>
        <w:t>Moore, S. E., Norman, R. E., Suetani, S., Thomas, H. J., Sly, P. D., &amp; Scott, J. G. (2017). Consequences of bullying victimization in childhood and adolescence: A systematic review and meta-analysis. World Journal of Psychiatry, 7(1), 60–76.</w:t>
      </w:r>
    </w:p>
    <w:p>
      <w:pPr>
        <w:spacing w:before="40" w:after="40" w:line="264" w:lineRule="auto"/>
        <w:ind w:left="567" w:hanging="567"/>
      </w:pPr>
      <w:r>
        <w:rPr>
          <w:rFonts w:ascii="Times New Roman" w:hAnsi="Times New Roman" w:eastAsia="Times New Roman"/>
          <w:sz w:val="24"/>
        </w:rPr>
        <w:t>Olweus, D. (1996). The revised Olweus Bully/Victim Questionnaire. Research Centre for Health Promotion, University of Bergen.</w:t>
      </w:r>
    </w:p>
    <w:p>
      <w:pPr>
        <w:spacing w:before="40" w:after="40" w:line="264" w:lineRule="auto"/>
        <w:ind w:left="567" w:hanging="567"/>
      </w:pPr>
      <w:r>
        <w:rPr>
          <w:rFonts w:ascii="Times New Roman" w:hAnsi="Times New Roman" w:eastAsia="Times New Roman"/>
          <w:sz w:val="24"/>
        </w:rPr>
        <w:t>Pascoe, M. C., Hetrick, S. E., &amp; Parker, A. G. (2020). The impact of stress on students in secondary school and higher education. International Journal of Adolescence and Youth, 25(1), 104–112.</w:t>
      </w:r>
    </w:p>
    <w:p>
      <w:pPr>
        <w:spacing w:before="40" w:after="40" w:line="264" w:lineRule="auto"/>
        <w:ind w:left="567" w:hanging="567"/>
      </w:pPr>
      <w:r>
        <w:rPr>
          <w:rFonts w:ascii="Times New Roman" w:hAnsi="Times New Roman" w:eastAsia="Times New Roman"/>
          <w:sz w:val="24"/>
        </w:rPr>
        <w:t>Rosenberg, M. (1965). Society and the adolescent self-image. Princeton University Press.</w:t>
      </w:r>
    </w:p>
    <w:p>
      <w:pPr>
        <w:spacing w:before="40" w:after="40" w:line="264" w:lineRule="auto"/>
        <w:ind w:left="567" w:hanging="567"/>
      </w:pPr>
      <w:r>
        <w:rPr>
          <w:rFonts w:ascii="Times New Roman" w:hAnsi="Times New Roman" w:eastAsia="Times New Roman"/>
          <w:sz w:val="24"/>
        </w:rPr>
        <w:t>Salk, R. H., Hyde, J. S., &amp; Abramson, L. Y. (2017). Gender differences in depression in representative national samples: Meta-analyses of diagnoses and symptoms. Psychological Bulletin, 143(8), 783–822.</w:t>
      </w:r>
    </w:p>
    <w:p>
      <w:pPr>
        <w:spacing w:before="40" w:after="40" w:line="264" w:lineRule="auto"/>
        <w:ind w:left="567" w:hanging="567"/>
      </w:pPr>
      <w:r>
        <w:rPr>
          <w:rFonts w:ascii="Times New Roman" w:hAnsi="Times New Roman" w:eastAsia="Times New Roman"/>
          <w:sz w:val="24"/>
        </w:rPr>
        <w:t>Sowislo, J. F., &amp; Orth, U. (2013). Does low self-esteem predict depression and anxiety? A meta-analysis of longitudinal studies. Psychological Bulletin, 139(1), 213–240.</w:t>
      </w:r>
    </w:p>
    <w:p>
      <w:pPr>
        <w:spacing w:before="40" w:after="40" w:line="264" w:lineRule="auto"/>
        <w:ind w:left="567" w:hanging="567"/>
      </w:pPr>
      <w:r>
        <w:rPr>
          <w:rFonts w:ascii="Times New Roman" w:hAnsi="Times New Roman" w:eastAsia="Times New Roman"/>
          <w:sz w:val="24"/>
        </w:rPr>
        <w:t>Sun, J., Dunne, M. P., Hou, X.-Y., &amp; Xu, A.-Q. (2011). Educational stress scale for adolescents: Development, validity, and reliability with Chinese students. Journal of Psychoeducational Assessment, 29(6), 534–546.</w:t>
      </w:r>
    </w:p>
    <w:p>
      <w:pPr>
        <w:spacing w:before="40" w:after="40" w:line="264" w:lineRule="auto"/>
        <w:ind w:left="567" w:hanging="567"/>
      </w:pPr>
      <w:r>
        <w:rPr>
          <w:rFonts w:ascii="Times New Roman" w:hAnsi="Times New Roman" w:eastAsia="Times New Roman"/>
          <w:sz w:val="24"/>
        </w:rPr>
        <w:t>Institute of Sociology, University of Queensland, &amp; Johns Hopkins Bloomberg School of Public Health. (2022). Viet Nam adolescent mental health survey: Report on main findings. Institute of Sociology.</w:t>
      </w:r>
    </w:p>
    <w:p>
      <w:r>
        <w:rPr>
          <w:rFonts w:ascii="Times New Roman" w:hAnsi="Times New Roman"/>
          <w:sz w:val="24"/>
        </w:rPr>
        <w:t>Xian, J., Zhang, Y., &amp; Jiang, B. (2024). Psychological interventions for social anxiety disorder in children and adolescents: A systematic review and network meta-analysis. Journal of Affective Disorders, 365, 614–627. https://doi.org/10.1016/j.jad.2024.08.097</w:t>
      </w:r>
    </w:p>
    <w:p>
      <w:pPr>
        <w:spacing w:before="40" w:after="40" w:line="264" w:lineRule="auto"/>
        <w:ind w:left="567" w:hanging="567"/>
      </w:pPr>
      <w:r>
        <w:rPr>
          <w:rFonts w:ascii="Times New Roman" w:hAnsi="Times New Roman" w:eastAsia="Times New Roman"/>
          <w:sz w:val="24"/>
        </w:rPr>
        <w:t>Zimet, G. D., Dahlem, N. W., Zimet, S. G., &amp; Farley, G. K. (1988). The Multidimensional Scale of Perceived Social Support. Journal of Personality Assessment, 52(1), 30–41.</w:t>
      </w:r>
    </w:p>
    <w:p>
      <w:pPr>
        <w:spacing w:before="280" w:after="120" w:line="276" w:lineRule="auto"/>
      </w:pPr>
      <w:r>
        <w:rPr>
          <w:rFonts w:ascii="Times New Roman" w:hAnsi="Times New Roman" w:eastAsia="Times New Roman"/>
          <w:b/>
          <w:sz w:val="26"/>
        </w:rPr>
        <w:t>Appendix — Statistical glossary for data analysts</w:t>
      </w:r>
    </w:p>
    <w:p>
      <w:pPr>
        <w:spacing w:before="60" w:after="60" w:line="276" w:lineRule="auto"/>
        <w:ind w:firstLine="283"/>
        <w:jc w:val="both"/>
      </w:pPr>
      <w:r>
        <w:rPr>
          <w:rFonts w:ascii="Times New Roman" w:hAnsi="Times New Roman" w:eastAsia="Times New Roman"/>
          <w:sz w:val="24"/>
        </w:rPr>
        <w:t>This appendix decodes every statistical index reported in the manuscript for communication with the data-analysis team (SPSS/lavaan/Mplus). Each entry covers (a) conceptual meaning, (b) interpretation, (c) reference thresholds, and (d) an example from the present study.</w:t>
      </w:r>
    </w:p>
    <w:p>
      <w:pPr>
        <w:spacing w:before="160" w:after="80" w:line="276" w:lineRule="auto"/>
      </w:pPr>
      <w:r>
        <w:rPr>
          <w:rFonts w:ascii="Times New Roman" w:hAnsi="Times New Roman" w:eastAsia="Times New Roman"/>
          <w:b/>
          <w:i/>
          <w:sz w:val="24"/>
        </w:rPr>
        <w:t>1. Standardized beta (β) in SEM</w:t>
      </w:r>
    </w:p>
    <w:p>
      <w:pPr>
        <w:spacing w:before="60" w:after="60" w:line="276" w:lineRule="auto"/>
        <w:ind w:firstLine="283"/>
        <w:jc w:val="both"/>
      </w:pPr>
      <w:r>
        <w:rPr>
          <w:rFonts w:ascii="Times New Roman" w:hAnsi="Times New Roman" w:eastAsia="Times New Roman"/>
          <w:sz w:val="24"/>
        </w:rPr>
        <w:t>Meaning: Standardized regression coefficient indicating the change in the dependent variable (in standard-deviation units) per one-SD increase in the predictor, controlling for other predictors. β ranges from −1 to +1.</w:t>
      </w:r>
    </w:p>
    <w:tbl>
      <w:tblPr>
        <w:tblStyle w:val="LightGrid"/>
        <w:tblW w:type="auto" w:w="0"/>
        <w:tblLook w:firstColumn="1" w:firstRow="1" w:lastColumn="0" w:lastRow="0" w:noHBand="0" w:noVBand="1" w:val="04A0"/>
      </w:tblPr>
      <w:tblGrid>
        <w:gridCol w:w="4844"/>
        <w:gridCol w:w="4844"/>
      </w:tblGrid>
      <w:tr>
        <w:tc>
          <w:tcPr>
            <w:tcW w:type="dxa" w:w="4844"/>
          </w:tcPr>
          <w:p>
            <w:r/>
            <w:r>
              <w:rPr>
                <w:rFonts w:ascii="Times New Roman" w:hAnsi="Times New Roman" w:eastAsia="Times New Roman"/>
                <w:b/>
                <w:sz w:val="22"/>
              </w:rPr>
              <w:t>|β|</w:t>
            </w:r>
          </w:p>
        </w:tc>
        <w:tc>
          <w:tcPr>
            <w:tcW w:type="dxa" w:w="4844"/>
          </w:tcPr>
          <w:p>
            <w:r/>
            <w:r>
              <w:rPr>
                <w:rFonts w:ascii="Times New Roman" w:hAnsi="Times New Roman" w:eastAsia="Times New Roman"/>
                <w:b/>
                <w:sz w:val="22"/>
              </w:rPr>
              <w:t>Interpretation</w:t>
            </w:r>
          </w:p>
        </w:tc>
      </w:tr>
      <w:tr>
        <w:tc>
          <w:tcPr>
            <w:tcW w:type="dxa" w:w="4844"/>
          </w:tcPr>
          <w:p>
            <w:r/>
            <w:r>
              <w:rPr>
                <w:rFonts w:ascii="Times New Roman" w:hAnsi="Times New Roman" w:eastAsia="Times New Roman"/>
                <w:sz w:val="22"/>
              </w:rPr>
              <w:t>&lt; 0.10</w:t>
            </w:r>
          </w:p>
        </w:tc>
        <w:tc>
          <w:tcPr>
            <w:tcW w:type="dxa" w:w="4844"/>
          </w:tcPr>
          <w:p>
            <w:r/>
            <w:r>
              <w:rPr>
                <w:rFonts w:ascii="Times New Roman" w:hAnsi="Times New Roman" w:eastAsia="Times New Roman"/>
                <w:sz w:val="22"/>
              </w:rPr>
              <w:t>Negligible</w:t>
            </w:r>
          </w:p>
        </w:tc>
      </w:tr>
      <w:tr>
        <w:tc>
          <w:tcPr>
            <w:tcW w:type="dxa" w:w="4844"/>
          </w:tcPr>
          <w:p>
            <w:r/>
            <w:r>
              <w:rPr>
                <w:rFonts w:ascii="Times New Roman" w:hAnsi="Times New Roman" w:eastAsia="Times New Roman"/>
                <w:sz w:val="22"/>
              </w:rPr>
              <w:t>0.10 – 0.29</w:t>
            </w:r>
          </w:p>
        </w:tc>
        <w:tc>
          <w:tcPr>
            <w:tcW w:type="dxa" w:w="4844"/>
          </w:tcPr>
          <w:p>
            <w:r/>
            <w:r>
              <w:rPr>
                <w:rFonts w:ascii="Times New Roman" w:hAnsi="Times New Roman" w:eastAsia="Times New Roman"/>
                <w:sz w:val="22"/>
              </w:rPr>
              <w:t>Small</w:t>
            </w:r>
          </w:p>
        </w:tc>
      </w:tr>
      <w:tr>
        <w:tc>
          <w:tcPr>
            <w:tcW w:type="dxa" w:w="4844"/>
          </w:tcPr>
          <w:p>
            <w:r/>
            <w:r>
              <w:rPr>
                <w:rFonts w:ascii="Times New Roman" w:hAnsi="Times New Roman" w:eastAsia="Times New Roman"/>
                <w:sz w:val="22"/>
              </w:rPr>
              <w:t>0.30 – 0.49</w:t>
            </w:r>
          </w:p>
        </w:tc>
        <w:tc>
          <w:tcPr>
            <w:tcW w:type="dxa" w:w="4844"/>
          </w:tcPr>
          <w:p>
            <w:r/>
            <w:r>
              <w:rPr>
                <w:rFonts w:ascii="Times New Roman" w:hAnsi="Times New Roman" w:eastAsia="Times New Roman"/>
                <w:sz w:val="22"/>
              </w:rPr>
              <w:t>Medium</w:t>
            </w:r>
          </w:p>
        </w:tc>
      </w:tr>
      <w:tr>
        <w:tc>
          <w:tcPr>
            <w:tcW w:type="dxa" w:w="4844"/>
          </w:tcPr>
          <w:p>
            <w:r/>
            <w:r>
              <w:rPr>
                <w:rFonts w:ascii="Times New Roman" w:hAnsi="Times New Roman" w:eastAsia="Times New Roman"/>
                <w:sz w:val="22"/>
              </w:rPr>
              <w:t>≥ 0.50</w:t>
            </w:r>
          </w:p>
        </w:tc>
        <w:tc>
          <w:tcPr>
            <w:tcW w:type="dxa" w:w="4844"/>
          </w:tcPr>
          <w:p>
            <w:r/>
            <w:r>
              <w:rPr>
                <w:rFonts w:ascii="Times New Roman" w:hAnsi="Times New Roman" w:eastAsia="Times New Roman"/>
                <w:sz w:val="22"/>
              </w:rPr>
              <w:t>Large</w:t>
            </w:r>
          </w:p>
        </w:tc>
      </w:tr>
    </w:tbl>
    <w:p>
      <w:pPr>
        <w:spacing w:before="60" w:after="60" w:line="276" w:lineRule="auto"/>
        <w:ind w:firstLine="283"/>
        <w:jc w:val="both"/>
      </w:pPr>
      <w:r>
        <w:rPr>
          <w:rFonts w:ascii="Times New Roman" w:hAnsi="Times New Roman" w:eastAsia="Times New Roman"/>
          <w:sz w:val="24"/>
        </w:rPr>
        <w:t>Examples (sorted by magnitude): β BPĐP → GAD = 0.749 (very large positive, but poor fit — see §4); β academic pressure → GAD = 0.510 (large positive); β self-esteem → GAD = −0.455 (large negative — protective); β school bullying → separation anxiety = 0.376 (medium positive, strongest in bullying model); β parental support → separation anxiety = 0.000 (null direct effect, p = 0.997).</w:t>
      </w:r>
    </w:p>
    <w:p>
      <w:pPr>
        <w:spacing w:before="160" w:after="80" w:line="276" w:lineRule="auto"/>
      </w:pPr>
      <w:r>
        <w:rPr>
          <w:rFonts w:ascii="Times New Roman" w:hAnsi="Times New Roman" w:eastAsia="Times New Roman"/>
          <w:b/>
          <w:i/>
          <w:sz w:val="24"/>
        </w:rPr>
        <w:t>2. Coefficient of determination R²</w:t>
      </w:r>
    </w:p>
    <w:p>
      <w:pPr>
        <w:spacing w:before="60" w:after="60" w:line="276" w:lineRule="auto"/>
        <w:ind w:firstLine="283"/>
        <w:jc w:val="both"/>
      </w:pPr>
      <w:r>
        <w:rPr>
          <w:rFonts w:ascii="Times New Roman" w:hAnsi="Times New Roman" w:eastAsia="Times New Roman"/>
          <w:sz w:val="24"/>
        </w:rPr>
        <w:t>Meaning: Proportion of variance in the dependent variable explained by the predictor(s). Cohen (1988): R² ≥ 0.26 = large effect. Examples: integrated risk + protective model R² = 0.598 (very large); academic pressure alone R² = 0.284 (large); self-esteem alone R² = 0.209 (medium); bullying alone R² = 0.076 (small).</w:t>
      </w:r>
    </w:p>
    <w:p>
      <w:pPr>
        <w:spacing w:before="160" w:after="80" w:line="276" w:lineRule="auto"/>
      </w:pPr>
      <w:r>
        <w:rPr>
          <w:rFonts w:ascii="Times New Roman" w:hAnsi="Times New Roman" w:eastAsia="Times New Roman"/>
          <w:b/>
          <w:i/>
          <w:sz w:val="24"/>
        </w:rPr>
        <w:t>3. Cohen d (between-group effect size)</w:t>
      </w:r>
    </w:p>
    <w:p>
      <w:pPr>
        <w:spacing w:before="60" w:after="60" w:line="276" w:lineRule="auto"/>
        <w:ind w:firstLine="283"/>
        <w:jc w:val="both"/>
      </w:pPr>
      <w:r>
        <w:rPr>
          <w:rFonts w:ascii="Times New Roman" w:hAnsi="Times New Roman" w:eastAsia="Times New Roman"/>
          <w:sz w:val="24"/>
        </w:rPr>
        <w:t>Meaning: Mean-difference between two groups in pooled SD units. Cohen (1988): 0.2 small, 0.5 medium, 0.8 large. Three-tier gender pattern in the present study: GAD d = 0.365 (small significant), social anxiety d = 0.370 (small significant), separation anxiety d ≈ 0.03 (negligible, non-significant). Consistent with Salk et al. (2017) global pattern.</w:t>
      </w:r>
    </w:p>
    <w:p>
      <w:pPr>
        <w:spacing w:before="160" w:after="80" w:line="276" w:lineRule="auto"/>
      </w:pPr>
      <w:r>
        <w:rPr>
          <w:rFonts w:ascii="Times New Roman" w:hAnsi="Times New Roman" w:eastAsia="Times New Roman"/>
          <w:b/>
          <w:i/>
          <w:sz w:val="24"/>
        </w:rPr>
        <w:t>4. SEM fit indices (Hu and Bentler, 1999)</w:t>
      </w:r>
    </w:p>
    <w:tbl>
      <w:tblPr>
        <w:tblStyle w:val="LightGrid"/>
        <w:tblW w:type="auto" w:w="0"/>
        <w:tblLook w:firstColumn="1" w:firstRow="1" w:lastColumn="0" w:lastRow="0" w:noHBand="0" w:noVBand="1" w:val="04A0"/>
      </w:tblPr>
      <w:tblGrid>
        <w:gridCol w:w="2422"/>
        <w:gridCol w:w="2422"/>
        <w:gridCol w:w="2422"/>
        <w:gridCol w:w="2422"/>
      </w:tblGrid>
      <w:tr>
        <w:tc>
          <w:tcPr>
            <w:tcW w:type="dxa" w:w="2422"/>
          </w:tcPr>
          <w:p>
            <w:r/>
            <w:r>
              <w:rPr>
                <w:rFonts w:ascii="Times New Roman" w:hAnsi="Times New Roman" w:eastAsia="Times New Roman"/>
                <w:b/>
                <w:sz w:val="22"/>
              </w:rPr>
              <w:t>Index</w:t>
            </w:r>
          </w:p>
        </w:tc>
        <w:tc>
          <w:tcPr>
            <w:tcW w:type="dxa" w:w="2422"/>
          </w:tcPr>
          <w:p>
            <w:r/>
            <w:r>
              <w:rPr>
                <w:rFonts w:ascii="Times New Roman" w:hAnsi="Times New Roman" w:eastAsia="Times New Roman"/>
                <w:b/>
                <w:sz w:val="22"/>
              </w:rPr>
              <w:t>Good fit</w:t>
            </w:r>
          </w:p>
        </w:tc>
        <w:tc>
          <w:tcPr>
            <w:tcW w:type="dxa" w:w="2422"/>
          </w:tcPr>
          <w:p>
            <w:r/>
            <w:r>
              <w:rPr>
                <w:rFonts w:ascii="Times New Roman" w:hAnsi="Times New Roman" w:eastAsia="Times New Roman"/>
                <w:b/>
                <w:sz w:val="22"/>
              </w:rPr>
              <w:t>Acceptable</w:t>
            </w:r>
          </w:p>
        </w:tc>
        <w:tc>
          <w:tcPr>
            <w:tcW w:type="dxa" w:w="2422"/>
          </w:tcPr>
          <w:p>
            <w:r/>
            <w:r>
              <w:rPr>
                <w:rFonts w:ascii="Times New Roman" w:hAnsi="Times New Roman" w:eastAsia="Times New Roman"/>
                <w:b/>
                <w:sz w:val="22"/>
              </w:rPr>
              <w:t>Poor fit interpretation</w:t>
            </w:r>
          </w:p>
        </w:tc>
      </w:tr>
      <w:tr>
        <w:tc>
          <w:tcPr>
            <w:tcW w:type="dxa" w:w="2422"/>
          </w:tcPr>
          <w:p>
            <w:r/>
            <w:r>
              <w:rPr>
                <w:rFonts w:ascii="Times New Roman" w:hAnsi="Times New Roman" w:eastAsia="Times New Roman"/>
                <w:sz w:val="22"/>
              </w:rPr>
              <w:t>CFI</w:t>
            </w:r>
          </w:p>
        </w:tc>
        <w:tc>
          <w:tcPr>
            <w:tcW w:type="dxa" w:w="2422"/>
          </w:tcPr>
          <w:p>
            <w:r/>
            <w:r>
              <w:rPr>
                <w:rFonts w:ascii="Times New Roman" w:hAnsi="Times New Roman" w:eastAsia="Times New Roman"/>
                <w:sz w:val="22"/>
              </w:rPr>
              <w:t>≥ 0.95</w:t>
            </w:r>
          </w:p>
        </w:tc>
        <w:tc>
          <w:tcPr>
            <w:tcW w:type="dxa" w:w="2422"/>
          </w:tcPr>
          <w:p>
            <w:r/>
            <w:r>
              <w:rPr>
                <w:rFonts w:ascii="Times New Roman" w:hAnsi="Times New Roman" w:eastAsia="Times New Roman"/>
                <w:sz w:val="22"/>
              </w:rPr>
              <w:t>≥ 0.90</w:t>
            </w:r>
          </w:p>
        </w:tc>
        <w:tc>
          <w:tcPr>
            <w:tcW w:type="dxa" w:w="2422"/>
          </w:tcPr>
          <w:p>
            <w:r/>
            <w:r>
              <w:rPr>
                <w:rFonts w:ascii="Times New Roman" w:hAnsi="Times New Roman" w:eastAsia="Times New Roman"/>
                <w:sz w:val="22"/>
              </w:rPr>
              <w:t>&lt; 0.90 → model not supported</w:t>
            </w:r>
          </w:p>
        </w:tc>
      </w:tr>
      <w:tr>
        <w:tc>
          <w:tcPr>
            <w:tcW w:type="dxa" w:w="2422"/>
          </w:tcPr>
          <w:p>
            <w:r/>
            <w:r>
              <w:rPr>
                <w:rFonts w:ascii="Times New Roman" w:hAnsi="Times New Roman" w:eastAsia="Times New Roman"/>
                <w:sz w:val="22"/>
              </w:rPr>
              <w:t>TLI</w:t>
            </w:r>
          </w:p>
        </w:tc>
        <w:tc>
          <w:tcPr>
            <w:tcW w:type="dxa" w:w="2422"/>
          </w:tcPr>
          <w:p>
            <w:r/>
            <w:r>
              <w:rPr>
                <w:rFonts w:ascii="Times New Roman" w:hAnsi="Times New Roman" w:eastAsia="Times New Roman"/>
                <w:sz w:val="22"/>
              </w:rPr>
              <w:t>≥ 0.95</w:t>
            </w:r>
          </w:p>
        </w:tc>
        <w:tc>
          <w:tcPr>
            <w:tcW w:type="dxa" w:w="2422"/>
          </w:tcPr>
          <w:p>
            <w:r/>
            <w:r>
              <w:rPr>
                <w:rFonts w:ascii="Times New Roman" w:hAnsi="Times New Roman" w:eastAsia="Times New Roman"/>
                <w:sz w:val="22"/>
              </w:rPr>
              <w:t>≥ 0.90</w:t>
            </w:r>
          </w:p>
        </w:tc>
        <w:tc>
          <w:tcPr>
            <w:tcW w:type="dxa" w:w="2422"/>
          </w:tcPr>
          <w:p>
            <w:r/>
            <w:r>
              <w:rPr>
                <w:rFonts w:ascii="Times New Roman" w:hAnsi="Times New Roman" w:eastAsia="Times New Roman"/>
                <w:sz w:val="22"/>
              </w:rPr>
              <w:t>&lt; 0.90 → model not supported</w:t>
            </w:r>
          </w:p>
        </w:tc>
      </w:tr>
      <w:tr>
        <w:tc>
          <w:tcPr>
            <w:tcW w:type="dxa" w:w="2422"/>
          </w:tcPr>
          <w:p>
            <w:r/>
            <w:r>
              <w:rPr>
                <w:rFonts w:ascii="Times New Roman" w:hAnsi="Times New Roman" w:eastAsia="Times New Roman"/>
                <w:sz w:val="22"/>
              </w:rPr>
              <w:t>RMSEA</w:t>
            </w:r>
          </w:p>
        </w:tc>
        <w:tc>
          <w:tcPr>
            <w:tcW w:type="dxa" w:w="2422"/>
          </w:tcPr>
          <w:p>
            <w:r/>
            <w:r>
              <w:rPr>
                <w:rFonts w:ascii="Times New Roman" w:hAnsi="Times New Roman" w:eastAsia="Times New Roman"/>
                <w:sz w:val="22"/>
              </w:rPr>
              <w:t>≤ 0.06</w:t>
            </w:r>
          </w:p>
        </w:tc>
        <w:tc>
          <w:tcPr>
            <w:tcW w:type="dxa" w:w="2422"/>
          </w:tcPr>
          <w:p>
            <w:r/>
            <w:r>
              <w:rPr>
                <w:rFonts w:ascii="Times New Roman" w:hAnsi="Times New Roman" w:eastAsia="Times New Roman"/>
                <w:sz w:val="22"/>
              </w:rPr>
              <w:t>≤ 0.08</w:t>
            </w:r>
          </w:p>
        </w:tc>
        <w:tc>
          <w:tcPr>
            <w:tcW w:type="dxa" w:w="2422"/>
          </w:tcPr>
          <w:p>
            <w:r/>
            <w:r>
              <w:rPr>
                <w:rFonts w:ascii="Times New Roman" w:hAnsi="Times New Roman" w:eastAsia="Times New Roman"/>
                <w:sz w:val="22"/>
              </w:rPr>
              <w:t>&gt; 0.10 → very poor</w:t>
            </w:r>
          </w:p>
        </w:tc>
      </w:tr>
      <w:tr>
        <w:tc>
          <w:tcPr>
            <w:tcW w:type="dxa" w:w="2422"/>
          </w:tcPr>
          <w:p>
            <w:r/>
            <w:r>
              <w:rPr>
                <w:rFonts w:ascii="Times New Roman" w:hAnsi="Times New Roman" w:eastAsia="Times New Roman"/>
                <w:sz w:val="22"/>
              </w:rPr>
              <w:t>SRMR</w:t>
            </w:r>
          </w:p>
        </w:tc>
        <w:tc>
          <w:tcPr>
            <w:tcW w:type="dxa" w:w="2422"/>
          </w:tcPr>
          <w:p>
            <w:r/>
            <w:r>
              <w:rPr>
                <w:rFonts w:ascii="Times New Roman" w:hAnsi="Times New Roman" w:eastAsia="Times New Roman"/>
                <w:sz w:val="22"/>
              </w:rPr>
              <w:t>≤ 0.08</w:t>
            </w:r>
          </w:p>
        </w:tc>
        <w:tc>
          <w:tcPr>
            <w:tcW w:type="dxa" w:w="2422"/>
          </w:tcPr>
          <w:p>
            <w:r/>
            <w:r>
              <w:rPr>
                <w:rFonts w:ascii="Times New Roman" w:hAnsi="Times New Roman" w:eastAsia="Times New Roman"/>
                <w:sz w:val="22"/>
              </w:rPr>
              <w:t>≤ 0.10</w:t>
            </w:r>
          </w:p>
        </w:tc>
        <w:tc>
          <w:tcPr>
            <w:tcW w:type="dxa" w:w="2422"/>
          </w:tcPr>
          <w:p>
            <w:r/>
            <w:r>
              <w:rPr>
                <w:rFonts w:ascii="Times New Roman" w:hAnsi="Times New Roman" w:eastAsia="Times New Roman"/>
                <w:sz w:val="22"/>
              </w:rPr>
              <w:t>&gt; 0.10 → reassess</w:t>
            </w:r>
          </w:p>
        </w:tc>
      </w:tr>
    </w:tbl>
    <w:p>
      <w:pPr>
        <w:spacing w:before="60" w:after="60" w:line="276" w:lineRule="auto"/>
        <w:ind w:firstLine="283"/>
        <w:jc w:val="both"/>
      </w:pPr>
      <w:r>
        <w:rPr>
          <w:rFonts w:ascii="Times New Roman" w:hAnsi="Times New Roman" w:eastAsia="Times New Roman"/>
          <w:sz w:val="24"/>
        </w:rPr>
        <w:t>Example: Bullying → anxiety (two-factor) showed excellent fit (RMSEA = 0.030; CFI = 0.999); the three-factor disaggregated model showed marginal fit (RMSEA = 0.129). The maladaptive coping → anxiety models showed poor fit (RMSEA 0.080–0.204; CFI 0.865–0.911) across all configurations — therefore the β = 0.749 coefficient is interpreted as exploratory and most plausibly reflects bidirectional escalation rather than unidirectional causation.</w:t>
      </w:r>
    </w:p>
    <w:p>
      <w:pPr>
        <w:spacing w:before="160" w:after="80" w:line="276" w:lineRule="auto"/>
      </w:pPr>
      <w:r>
        <w:rPr>
          <w:rFonts w:ascii="Times New Roman" w:hAnsi="Times New Roman" w:eastAsia="Times New Roman"/>
          <w:b/>
          <w:i/>
          <w:sz w:val="24"/>
        </w:rPr>
        <w:t>5. Magnitude ratio |β| (cross-factor comparison)</w:t>
      </w:r>
    </w:p>
    <w:p>
      <w:pPr>
        <w:spacing w:before="60" w:after="60" w:line="276" w:lineRule="auto"/>
        <w:ind w:firstLine="283"/>
        <w:jc w:val="both"/>
      </w:pPr>
      <w:r>
        <w:rPr>
          <w:rFonts w:ascii="Times New Roman" w:hAnsi="Times New Roman" w:eastAsia="Times New Roman"/>
          <w:sz w:val="24"/>
        </w:rPr>
        <w:t>Computed as |β factor A| / |β factor B| to compare the strength of two predictors of the same outcome. In the present study, |β self-esteem| / |β academic pressure| yields 0.892 for GAD, 0.847 for social anxiety, and 0.344 for separation anxiety, indicating that self-esteem rivals academic pressure in the two cognitive-evaluative subtypes but not in the attachment-based subtype.</w:t>
      </w:r>
    </w:p>
    <w:p>
      <w:pPr>
        <w:spacing w:before="160" w:after="80" w:line="276" w:lineRule="auto"/>
      </w:pPr>
      <w:r>
        <w:rPr>
          <w:rFonts w:ascii="Times New Roman" w:hAnsi="Times New Roman" w:eastAsia="Times New Roman"/>
          <w:b/>
          <w:i/>
          <w:sz w:val="24"/>
        </w:rPr>
        <w:t>6. Requirements for the data-analysis team</w:t>
      </w:r>
    </w:p>
    <w:p>
      <w:pPr>
        <w:spacing w:before="60" w:after="60" w:line="276" w:lineRule="auto"/>
        <w:ind w:firstLine="170"/>
      </w:pPr>
      <w:r>
        <w:rPr>
          <w:rFonts w:ascii="Times New Roman" w:hAnsi="Times New Roman" w:eastAsia="Times New Roman"/>
          <w:sz w:val="24"/>
        </w:rPr>
        <w:t>• For each SEM: χ² (df), CFI, TLI, RMSEA (with 90% CI), SRMR.</w:t>
      </w:r>
    </w:p>
    <w:p>
      <w:pPr>
        <w:spacing w:before="60" w:after="60" w:line="276" w:lineRule="auto"/>
        <w:ind w:firstLine="170"/>
      </w:pPr>
      <w:r>
        <w:rPr>
          <w:rFonts w:ascii="Times New Roman" w:hAnsi="Times New Roman" w:eastAsia="Times New Roman"/>
          <w:sz w:val="24"/>
        </w:rPr>
        <w:t>• For each pathway: standardized β, SE, 95% bootstrap CI (5,000 resamples), p-value.</w:t>
      </w:r>
    </w:p>
    <w:p>
      <w:pPr>
        <w:spacing w:before="60" w:after="60" w:line="276" w:lineRule="auto"/>
        <w:ind w:firstLine="170"/>
      </w:pPr>
      <w:r>
        <w:rPr>
          <w:rFonts w:ascii="Times New Roman" w:hAnsi="Times New Roman" w:eastAsia="Times New Roman"/>
          <w:sz w:val="24"/>
        </w:rPr>
        <w:t>• For mediation: a, b, c, c′ coefficients and indirect = a × b with 95% bootstrap CI.</w:t>
      </w:r>
    </w:p>
    <w:p>
      <w:pPr>
        <w:spacing w:before="60" w:after="60" w:line="276" w:lineRule="auto"/>
        <w:ind w:firstLine="170"/>
      </w:pPr>
      <w:r>
        <w:rPr>
          <w:rFonts w:ascii="Times New Roman" w:hAnsi="Times New Roman" w:eastAsia="Times New Roman"/>
          <w:sz w:val="24"/>
        </w:rPr>
        <w:t>• For multi-group invariance: configural, metric, scalar — Δχ², ΔCFI, ΔRMSEA.</w:t>
      </w:r>
    </w:p>
    <w:p>
      <w:pPr>
        <w:spacing w:before="60" w:after="60" w:line="276" w:lineRule="auto"/>
        <w:ind w:firstLine="170"/>
      </w:pPr>
      <w:r>
        <w:rPr>
          <w:rFonts w:ascii="Times New Roman" w:hAnsi="Times New Roman" w:eastAsia="Times New Roman"/>
          <w:sz w:val="24"/>
        </w:rPr>
        <w:t>• For gender analyses: F, p, Cohen d for each anxiety subtype.</w:t>
      </w:r>
    </w:p>
    <w:p>
      <w:pPr>
        <w:spacing w:before="60" w:after="60" w:line="276" w:lineRule="auto"/>
        <w:ind w:firstLine="170"/>
      </w:pPr>
      <w:r>
        <w:rPr>
          <w:rFonts w:ascii="Times New Roman" w:hAnsi="Times New Roman" w:eastAsia="Times New Roman"/>
          <w:sz w:val="24"/>
        </w:rPr>
        <w:t>• For common-method variance: Harman's single-factor test (% variance of first factor).</w:t>
      </w:r>
    </w:p>
    <w:p>
      <w:pPr>
        <w:spacing w:before="60" w:after="60" w:line="276" w:lineRule="auto"/>
        <w:ind w:firstLine="170"/>
      </w:pPr>
      <w:r>
        <w:rPr>
          <w:rFonts w:ascii="Times New Roman" w:hAnsi="Times New Roman" w:eastAsia="Times New Roman"/>
          <w:sz w:val="24"/>
        </w:rPr>
        <w:t>• Where fit is poor (RMSEA &gt; 0.08 or CFI &lt; 0.90), report alternative-model comparison.</w:t>
      </w:r>
    </w:p>
    <w:p>
      <w:pPr>
        <w:spacing w:before="60" w:after="60" w:line="276" w:lineRule="auto"/>
        <w:ind w:firstLine="170"/>
      </w:pPr>
      <w:r>
        <w:rPr>
          <w:rFonts w:ascii="Times New Roman" w:hAnsi="Times New Roman" w:eastAsia="Times New Roman"/>
          <w:sz w:val="24"/>
        </w:rPr>
        <w:t>• Use period for decimal separators in the English manuscript; commas for the Vietnamese manuscript.</w:t>
      </w:r>
    </w:p>
    <w:p>
      <w:pPr>
        <w:spacing w:before="280" w:after="120" w:line="276" w:lineRule="auto"/>
      </w:pPr>
      <w:r>
        <w:rPr>
          <w:rFonts w:ascii="Times New Roman" w:hAnsi="Times New Roman" w:eastAsia="Times New Roman"/>
          <w:b/>
          <w:sz w:val="26"/>
        </w:rPr>
        <w:t>Supplementary appendix — Twelve target journals (Q2 to Q3)</w:t>
      </w:r>
    </w:p>
    <w:p>
      <w:pPr>
        <w:spacing w:before="60" w:after="60" w:line="276" w:lineRule="auto"/>
        <w:ind w:firstLine="283"/>
        <w:jc w:val="both"/>
      </w:pPr>
      <w:r>
        <w:rPr>
          <w:rFonts w:ascii="Times New Roman" w:hAnsi="Times New Roman" w:eastAsia="Times New Roman"/>
          <w:sz w:val="24"/>
        </w:rPr>
        <w:t>The table below lists twelve international journals appropriate for this Q2.5 manuscript, ordered by submission priority. Each row reports the 2024 Impact Factor, quartile, open-access fee (APC), estimated turnaround, scope-fit rating (1–5 stars), and a brief strategic note.</w:t>
      </w:r>
    </w:p>
    <w:p>
      <w:pPr>
        <w:spacing w:before="160" w:after="80" w:line="276" w:lineRule="auto"/>
      </w:pPr>
      <w:r>
        <w:rPr>
          <w:rFonts w:ascii="Times New Roman" w:hAnsi="Times New Roman" w:eastAsia="Times New Roman"/>
          <w:b/>
          <w:i/>
          <w:sz w:val="24"/>
        </w:rPr>
        <w:t>Table — Twelve target journals</w:t>
      </w:r>
    </w:p>
    <w:tbl>
      <w:tblPr>
        <w:tblStyle w:val="LightGrid"/>
        <w:tblW w:type="auto" w:w="0"/>
        <w:tblLook w:firstColumn="1" w:firstRow="1" w:lastColumn="0" w:lastRow="0" w:noHBand="0" w:noVBand="1" w:val="04A0"/>
      </w:tblPr>
      <w:tblGrid>
        <w:gridCol w:w="1211"/>
        <w:gridCol w:w="1211"/>
        <w:gridCol w:w="1211"/>
        <w:gridCol w:w="1211"/>
        <w:gridCol w:w="1211"/>
        <w:gridCol w:w="1211"/>
        <w:gridCol w:w="1211"/>
        <w:gridCol w:w="1211"/>
      </w:tblGrid>
      <w:tr>
        <w:tc>
          <w:tcPr>
            <w:tcW w:type="dxa" w:w="1211"/>
          </w:tcPr>
          <w:p>
            <w:r/>
            <w:r>
              <w:rPr>
                <w:rFonts w:ascii="Times New Roman" w:hAnsi="Times New Roman" w:eastAsia="Times New Roman"/>
                <w:b/>
                <w:sz w:val="20"/>
              </w:rPr>
              <w:t>#</w:t>
            </w:r>
          </w:p>
        </w:tc>
        <w:tc>
          <w:tcPr>
            <w:tcW w:type="dxa" w:w="1211"/>
          </w:tcPr>
          <w:p>
            <w:r/>
            <w:r>
              <w:rPr>
                <w:rFonts w:ascii="Times New Roman" w:hAnsi="Times New Roman" w:eastAsia="Times New Roman"/>
                <w:b/>
                <w:sz w:val="20"/>
              </w:rPr>
              <w:t>Journal</w:t>
            </w:r>
          </w:p>
        </w:tc>
        <w:tc>
          <w:tcPr>
            <w:tcW w:type="dxa" w:w="1211"/>
          </w:tcPr>
          <w:p>
            <w:r/>
            <w:r>
              <w:rPr>
                <w:rFonts w:ascii="Times New Roman" w:hAnsi="Times New Roman" w:eastAsia="Times New Roman"/>
                <w:b/>
                <w:sz w:val="20"/>
              </w:rPr>
              <w:t>IF 2024</w:t>
            </w:r>
          </w:p>
        </w:tc>
        <w:tc>
          <w:tcPr>
            <w:tcW w:type="dxa" w:w="1211"/>
          </w:tcPr>
          <w:p>
            <w:r/>
            <w:r>
              <w:rPr>
                <w:rFonts w:ascii="Times New Roman" w:hAnsi="Times New Roman" w:eastAsia="Times New Roman"/>
                <w:b/>
                <w:sz w:val="20"/>
              </w:rPr>
              <w:t>Quartile</w:t>
            </w:r>
          </w:p>
        </w:tc>
        <w:tc>
          <w:tcPr>
            <w:tcW w:type="dxa" w:w="1211"/>
          </w:tcPr>
          <w:p>
            <w:r/>
            <w:r>
              <w:rPr>
                <w:rFonts w:ascii="Times New Roman" w:hAnsi="Times New Roman" w:eastAsia="Times New Roman"/>
                <w:b/>
                <w:sz w:val="20"/>
              </w:rPr>
              <w:t>APC</w:t>
            </w:r>
          </w:p>
        </w:tc>
        <w:tc>
          <w:tcPr>
            <w:tcW w:type="dxa" w:w="1211"/>
          </w:tcPr>
          <w:p>
            <w:r/>
            <w:r>
              <w:rPr>
                <w:rFonts w:ascii="Times New Roman" w:hAnsi="Times New Roman" w:eastAsia="Times New Roman"/>
                <w:b/>
                <w:sz w:val="20"/>
              </w:rPr>
              <w:t>Turnaround</w:t>
            </w:r>
          </w:p>
        </w:tc>
        <w:tc>
          <w:tcPr>
            <w:tcW w:type="dxa" w:w="1211"/>
          </w:tcPr>
          <w:p>
            <w:r/>
            <w:r>
              <w:rPr>
                <w:rFonts w:ascii="Times New Roman" w:hAnsi="Times New Roman" w:eastAsia="Times New Roman"/>
                <w:b/>
                <w:sz w:val="20"/>
              </w:rPr>
              <w:t>Fit</w:t>
            </w:r>
          </w:p>
        </w:tc>
        <w:tc>
          <w:tcPr>
            <w:tcW w:type="dxa" w:w="1211"/>
          </w:tcPr>
          <w:p>
            <w:r/>
            <w:r>
              <w:rPr>
                <w:rFonts w:ascii="Times New Roman" w:hAnsi="Times New Roman" w:eastAsia="Times New Roman"/>
                <w:b/>
                <w:sz w:val="20"/>
              </w:rPr>
              <w:t>Notes</w:t>
            </w:r>
          </w:p>
        </w:tc>
      </w:tr>
      <w:tr>
        <w:tc>
          <w:tcPr>
            <w:tcW w:type="dxa" w:w="1211"/>
          </w:tcPr>
          <w:p>
            <w:r/>
            <w:r>
              <w:rPr>
                <w:rFonts w:ascii="Times New Roman" w:hAnsi="Times New Roman" w:eastAsia="Times New Roman"/>
                <w:sz w:val="20"/>
              </w:rPr>
              <w:t>1</w:t>
            </w:r>
          </w:p>
        </w:tc>
        <w:tc>
          <w:tcPr>
            <w:tcW w:type="dxa" w:w="1211"/>
          </w:tcPr>
          <w:p>
            <w:r/>
            <w:r>
              <w:rPr>
                <w:rFonts w:ascii="Times New Roman" w:hAnsi="Times New Roman" w:eastAsia="Times New Roman"/>
                <w:sz w:val="20"/>
              </w:rPr>
              <w:t>Frontiers in Psychiatry</w:t>
            </w:r>
          </w:p>
        </w:tc>
        <w:tc>
          <w:tcPr>
            <w:tcW w:type="dxa" w:w="1211"/>
          </w:tcPr>
          <w:p>
            <w:r/>
            <w:r>
              <w:rPr>
                <w:rFonts w:ascii="Times New Roman" w:hAnsi="Times New Roman" w:eastAsia="Times New Roman"/>
                <w:sz w:val="20"/>
              </w:rPr>
              <w:t>3,10</w:t>
            </w:r>
          </w:p>
        </w:tc>
        <w:tc>
          <w:tcPr>
            <w:tcW w:type="dxa" w:w="1211"/>
          </w:tcPr>
          <w:p>
            <w:r/>
            <w:r>
              <w:rPr>
                <w:rFonts w:ascii="Times New Roman" w:hAnsi="Times New Roman" w:eastAsia="Times New Roman"/>
                <w:sz w:val="20"/>
              </w:rPr>
              <w:t>Q1 SJR / Q2 WoS</w:t>
            </w:r>
          </w:p>
        </w:tc>
        <w:tc>
          <w:tcPr>
            <w:tcW w:type="dxa" w:w="1211"/>
          </w:tcPr>
          <w:p>
            <w:r/>
            <w:r>
              <w:rPr>
                <w:rFonts w:ascii="Times New Roman" w:hAnsi="Times New Roman" w:eastAsia="Times New Roman"/>
                <w:sz w:val="20"/>
              </w:rPr>
              <w:t>~3.150 CHF (waiver LMIC)</w:t>
            </w:r>
          </w:p>
        </w:tc>
        <w:tc>
          <w:tcPr>
            <w:tcW w:type="dxa" w:w="1211"/>
          </w:tcPr>
          <w:p>
            <w:r/>
            <w:r>
              <w:rPr>
                <w:rFonts w:ascii="Times New Roman" w:hAnsi="Times New Roman" w:eastAsia="Times New Roman"/>
                <w:sz w:val="20"/>
              </w:rPr>
              <w:t>~77 ngày</w:t>
            </w:r>
          </w:p>
        </w:tc>
        <w:tc>
          <w:tcPr>
            <w:tcW w:type="dxa" w:w="1211"/>
          </w:tcPr>
          <w:p>
            <w:r/>
            <w:r>
              <w:rPr>
                <w:rFonts w:ascii="Times New Roman" w:hAnsi="Times New Roman" w:eastAsia="Times New Roman"/>
                <w:sz w:val="20"/>
              </w:rPr>
              <w:t>⭐⭐⭐⭐⭐</w:t>
            </w:r>
          </w:p>
        </w:tc>
        <w:tc>
          <w:tcPr>
            <w:tcW w:type="dxa" w:w="1211"/>
          </w:tcPr>
          <w:p>
            <w:r/>
            <w:r>
              <w:rPr>
                <w:rFonts w:ascii="Times New Roman" w:hAnsi="Times New Roman" w:eastAsia="Times New Roman"/>
                <w:sz w:val="20"/>
              </w:rPr>
              <w:t>Lựa chọn ưu tiên #1 — tốc độ + uy tín</w:t>
            </w:r>
          </w:p>
        </w:tc>
      </w:tr>
      <w:tr>
        <w:tc>
          <w:tcPr>
            <w:tcW w:type="dxa" w:w="1211"/>
          </w:tcPr>
          <w:p>
            <w:r/>
            <w:r>
              <w:rPr>
                <w:rFonts w:ascii="Times New Roman" w:hAnsi="Times New Roman" w:eastAsia="Times New Roman"/>
                <w:sz w:val="20"/>
              </w:rPr>
              <w:t>2</w:t>
            </w:r>
          </w:p>
        </w:tc>
        <w:tc>
          <w:tcPr>
            <w:tcW w:type="dxa" w:w="1211"/>
          </w:tcPr>
          <w:p>
            <w:r/>
            <w:r>
              <w:rPr>
                <w:rFonts w:ascii="Times New Roman" w:hAnsi="Times New Roman" w:eastAsia="Times New Roman"/>
                <w:sz w:val="20"/>
              </w:rPr>
              <w:t>Asian Journal of Psychiatry</w:t>
            </w:r>
          </w:p>
        </w:tc>
        <w:tc>
          <w:tcPr>
            <w:tcW w:type="dxa" w:w="1211"/>
          </w:tcPr>
          <w:p>
            <w:r/>
            <w:r>
              <w:rPr>
                <w:rFonts w:ascii="Times New Roman" w:hAnsi="Times New Roman" w:eastAsia="Times New Roman"/>
                <w:sz w:val="20"/>
              </w:rPr>
              <w:t>2,77</w:t>
            </w:r>
          </w:p>
        </w:tc>
        <w:tc>
          <w:tcPr>
            <w:tcW w:type="dxa" w:w="1211"/>
          </w:tcPr>
          <w:p>
            <w:r/>
            <w:r>
              <w:rPr>
                <w:rFonts w:ascii="Times New Roman" w:hAnsi="Times New Roman" w:eastAsia="Times New Roman"/>
                <w:sz w:val="20"/>
              </w:rPr>
              <w:t>Q1 SJR</w:t>
            </w:r>
          </w:p>
        </w:tc>
        <w:tc>
          <w:tcPr>
            <w:tcW w:type="dxa" w:w="1211"/>
          </w:tcPr>
          <w:p>
            <w:r/>
            <w:r>
              <w:rPr>
                <w:rFonts w:ascii="Times New Roman" w:hAnsi="Times New Roman" w:eastAsia="Times New Roman"/>
                <w:sz w:val="20"/>
              </w:rPr>
              <w:t>Tùy editor (waiver LMIC)</w:t>
            </w:r>
          </w:p>
        </w:tc>
        <w:tc>
          <w:tcPr>
            <w:tcW w:type="dxa" w:w="1211"/>
          </w:tcPr>
          <w:p>
            <w:r/>
            <w:r>
              <w:rPr>
                <w:rFonts w:ascii="Times New Roman" w:hAnsi="Times New Roman" w:eastAsia="Times New Roman"/>
                <w:sz w:val="20"/>
              </w:rPr>
              <w:t>Không rõ</w:t>
            </w:r>
          </w:p>
        </w:tc>
        <w:tc>
          <w:tcPr>
            <w:tcW w:type="dxa" w:w="1211"/>
          </w:tcPr>
          <w:p>
            <w:r/>
            <w:r>
              <w:rPr>
                <w:rFonts w:ascii="Times New Roman" w:hAnsi="Times New Roman" w:eastAsia="Times New Roman"/>
                <w:sz w:val="20"/>
              </w:rPr>
              <w:t>⭐⭐⭐⭐⭐</w:t>
            </w:r>
          </w:p>
        </w:tc>
        <w:tc>
          <w:tcPr>
            <w:tcW w:type="dxa" w:w="1211"/>
          </w:tcPr>
          <w:p>
            <w:r/>
            <w:r>
              <w:rPr>
                <w:rFonts w:ascii="Times New Roman" w:hAnsi="Times New Roman" w:eastAsia="Times New Roman"/>
                <w:sz w:val="20"/>
              </w:rPr>
              <w:t>Cultural fit cao nhất — bài hợp khu vực Á</w:t>
            </w:r>
          </w:p>
        </w:tc>
      </w:tr>
      <w:tr>
        <w:tc>
          <w:tcPr>
            <w:tcW w:type="dxa" w:w="1211"/>
          </w:tcPr>
          <w:p>
            <w:r/>
            <w:r>
              <w:rPr>
                <w:rFonts w:ascii="Times New Roman" w:hAnsi="Times New Roman" w:eastAsia="Times New Roman"/>
                <w:sz w:val="20"/>
              </w:rPr>
              <w:t>3</w:t>
            </w:r>
          </w:p>
        </w:tc>
        <w:tc>
          <w:tcPr>
            <w:tcW w:type="dxa" w:w="1211"/>
          </w:tcPr>
          <w:p>
            <w:r/>
            <w:r>
              <w:rPr>
                <w:rFonts w:ascii="Times New Roman" w:hAnsi="Times New Roman" w:eastAsia="Times New Roman"/>
                <w:sz w:val="20"/>
              </w:rPr>
              <w:t>Child Psychiatry &amp; Human Development</w:t>
            </w:r>
          </w:p>
        </w:tc>
        <w:tc>
          <w:tcPr>
            <w:tcW w:type="dxa" w:w="1211"/>
          </w:tcPr>
          <w:p>
            <w:r/>
            <w:r>
              <w:rPr>
                <w:rFonts w:ascii="Times New Roman" w:hAnsi="Times New Roman" w:eastAsia="Times New Roman"/>
                <w:sz w:val="20"/>
              </w:rPr>
              <w:t>2,20</w:t>
            </w:r>
          </w:p>
        </w:tc>
        <w:tc>
          <w:tcPr>
            <w:tcW w:type="dxa" w:w="1211"/>
          </w:tcPr>
          <w:p>
            <w:r/>
            <w:r>
              <w:rPr>
                <w:rFonts w:ascii="Times New Roman" w:hAnsi="Times New Roman" w:eastAsia="Times New Roman"/>
                <w:sz w:val="20"/>
              </w:rPr>
              <w:t>Q2 SJR</w:t>
            </w:r>
          </w:p>
        </w:tc>
        <w:tc>
          <w:tcPr>
            <w:tcW w:type="dxa" w:w="1211"/>
          </w:tcPr>
          <w:p>
            <w:r/>
            <w:r>
              <w:rPr>
                <w:rFonts w:ascii="Times New Roman" w:hAnsi="Times New Roman" w:eastAsia="Times New Roman"/>
                <w:sz w:val="20"/>
              </w:rPr>
              <w:t>~$2-3k</w:t>
            </w:r>
          </w:p>
        </w:tc>
        <w:tc>
          <w:tcPr>
            <w:tcW w:type="dxa" w:w="1211"/>
          </w:tcPr>
          <w:p>
            <w:r/>
            <w:r>
              <w:rPr>
                <w:rFonts w:ascii="Times New Roman" w:hAnsi="Times New Roman" w:eastAsia="Times New Roman"/>
                <w:sz w:val="20"/>
              </w:rPr>
              <w:t>Không rõ</w:t>
            </w:r>
          </w:p>
        </w:tc>
        <w:tc>
          <w:tcPr>
            <w:tcW w:type="dxa" w:w="1211"/>
          </w:tcPr>
          <w:p>
            <w:r/>
            <w:r>
              <w:rPr>
                <w:rFonts w:ascii="Times New Roman" w:hAnsi="Times New Roman" w:eastAsia="Times New Roman"/>
                <w:sz w:val="20"/>
              </w:rPr>
              <w:t>⭐⭐⭐⭐⭐</w:t>
            </w:r>
          </w:p>
        </w:tc>
        <w:tc>
          <w:tcPr>
            <w:tcW w:type="dxa" w:w="1211"/>
          </w:tcPr>
          <w:p>
            <w:r/>
            <w:r>
              <w:rPr>
                <w:rFonts w:ascii="Times New Roman" w:hAnsi="Times New Roman" w:eastAsia="Times New Roman"/>
                <w:sz w:val="20"/>
              </w:rPr>
              <w:t>Springer + PubMed indexed; chấp nhận SEM</w:t>
            </w:r>
          </w:p>
        </w:tc>
      </w:tr>
      <w:tr>
        <w:tc>
          <w:tcPr>
            <w:tcW w:type="dxa" w:w="1211"/>
          </w:tcPr>
          <w:p>
            <w:r/>
            <w:r>
              <w:rPr>
                <w:rFonts w:ascii="Times New Roman" w:hAnsi="Times New Roman" w:eastAsia="Times New Roman"/>
                <w:sz w:val="20"/>
              </w:rPr>
              <w:t>4</w:t>
            </w:r>
          </w:p>
        </w:tc>
        <w:tc>
          <w:tcPr>
            <w:tcW w:type="dxa" w:w="1211"/>
          </w:tcPr>
          <w:p>
            <w:r/>
            <w:r>
              <w:rPr>
                <w:rFonts w:ascii="Times New Roman" w:hAnsi="Times New Roman" w:eastAsia="Times New Roman"/>
                <w:sz w:val="20"/>
              </w:rPr>
              <w:t>BMC Psychology</w:t>
            </w:r>
          </w:p>
        </w:tc>
        <w:tc>
          <w:tcPr>
            <w:tcW w:type="dxa" w:w="1211"/>
          </w:tcPr>
          <w:p>
            <w:r/>
            <w:r>
              <w:rPr>
                <w:rFonts w:ascii="Times New Roman" w:hAnsi="Times New Roman" w:eastAsia="Times New Roman"/>
                <w:sz w:val="20"/>
              </w:rPr>
              <w:t>3,40</w:t>
            </w:r>
          </w:p>
        </w:tc>
        <w:tc>
          <w:tcPr>
            <w:tcW w:type="dxa" w:w="1211"/>
          </w:tcPr>
          <w:p>
            <w:r/>
            <w:r>
              <w:rPr>
                <w:rFonts w:ascii="Times New Roman" w:hAnsi="Times New Roman" w:eastAsia="Times New Roman"/>
                <w:sz w:val="20"/>
              </w:rPr>
              <w:t>Q1 SJR</w:t>
            </w:r>
          </w:p>
        </w:tc>
        <w:tc>
          <w:tcPr>
            <w:tcW w:type="dxa" w:w="1211"/>
          </w:tcPr>
          <w:p>
            <w:r/>
            <w:r>
              <w:rPr>
                <w:rFonts w:ascii="Times New Roman" w:hAnsi="Times New Roman" w:eastAsia="Times New Roman"/>
                <w:sz w:val="20"/>
              </w:rPr>
              <w:t>€1.390 (OA)</w:t>
            </w:r>
          </w:p>
        </w:tc>
        <w:tc>
          <w:tcPr>
            <w:tcW w:type="dxa" w:w="1211"/>
          </w:tcPr>
          <w:p>
            <w:r/>
            <w:r>
              <w:rPr>
                <w:rFonts w:ascii="Times New Roman" w:hAnsi="Times New Roman" w:eastAsia="Times New Roman"/>
                <w:sz w:val="20"/>
              </w:rPr>
              <w:t>Không rõ</w:t>
            </w:r>
          </w:p>
        </w:tc>
        <w:tc>
          <w:tcPr>
            <w:tcW w:type="dxa" w:w="1211"/>
          </w:tcPr>
          <w:p>
            <w:r/>
            <w:r>
              <w:rPr>
                <w:rFonts w:ascii="Times New Roman" w:hAnsi="Times New Roman" w:eastAsia="Times New Roman"/>
                <w:sz w:val="20"/>
              </w:rPr>
              <w:t>⭐⭐⭐⭐</w:t>
            </w:r>
          </w:p>
        </w:tc>
        <w:tc>
          <w:tcPr>
            <w:tcW w:type="dxa" w:w="1211"/>
          </w:tcPr>
          <w:p>
            <w:r/>
            <w:r>
              <w:rPr>
                <w:rFonts w:ascii="Times New Roman" w:hAnsi="Times New Roman" w:eastAsia="Times New Roman"/>
                <w:sz w:val="20"/>
              </w:rPr>
              <w:t>OA rẻ nhất nhóm Q1-Q2; PMC indexed</w:t>
            </w:r>
          </w:p>
        </w:tc>
      </w:tr>
      <w:tr>
        <w:tc>
          <w:tcPr>
            <w:tcW w:type="dxa" w:w="1211"/>
          </w:tcPr>
          <w:p>
            <w:r/>
            <w:r>
              <w:rPr>
                <w:rFonts w:ascii="Times New Roman" w:hAnsi="Times New Roman" w:eastAsia="Times New Roman"/>
                <w:sz w:val="20"/>
              </w:rPr>
              <w:t>5</w:t>
            </w:r>
          </w:p>
        </w:tc>
        <w:tc>
          <w:tcPr>
            <w:tcW w:type="dxa" w:w="1211"/>
          </w:tcPr>
          <w:p>
            <w:r/>
            <w:r>
              <w:rPr>
                <w:rFonts w:ascii="Times New Roman" w:hAnsi="Times New Roman" w:eastAsia="Times New Roman"/>
                <w:sz w:val="20"/>
              </w:rPr>
              <w:t>Children and Youth Services Review</w:t>
            </w:r>
          </w:p>
        </w:tc>
        <w:tc>
          <w:tcPr>
            <w:tcW w:type="dxa" w:w="1211"/>
          </w:tcPr>
          <w:p>
            <w:r/>
            <w:r>
              <w:rPr>
                <w:rFonts w:ascii="Times New Roman" w:hAnsi="Times New Roman" w:eastAsia="Times New Roman"/>
                <w:sz w:val="20"/>
              </w:rPr>
              <w:t>2,14</w:t>
            </w:r>
          </w:p>
        </w:tc>
        <w:tc>
          <w:tcPr>
            <w:tcW w:type="dxa" w:w="1211"/>
          </w:tcPr>
          <w:p>
            <w:r/>
            <w:r>
              <w:rPr>
                <w:rFonts w:ascii="Times New Roman" w:hAnsi="Times New Roman" w:eastAsia="Times New Roman"/>
                <w:sz w:val="20"/>
              </w:rPr>
              <w:t>Q1 (policy lane)</w:t>
            </w:r>
          </w:p>
        </w:tc>
        <w:tc>
          <w:tcPr>
            <w:tcW w:type="dxa" w:w="1211"/>
          </w:tcPr>
          <w:p>
            <w:r/>
            <w:r>
              <w:rPr>
                <w:rFonts w:ascii="Times New Roman" w:hAnsi="Times New Roman" w:eastAsia="Times New Roman"/>
                <w:sz w:val="20"/>
              </w:rPr>
              <w:t>Subscription (miễn phí cho tác giả)</w:t>
            </w:r>
          </w:p>
        </w:tc>
        <w:tc>
          <w:tcPr>
            <w:tcW w:type="dxa" w:w="1211"/>
          </w:tcPr>
          <w:p>
            <w:r/>
            <w:r>
              <w:rPr>
                <w:rFonts w:ascii="Times New Roman" w:hAnsi="Times New Roman" w:eastAsia="Times New Roman"/>
                <w:sz w:val="20"/>
              </w:rPr>
              <w:t>~8,7 tuần</w:t>
            </w:r>
          </w:p>
        </w:tc>
        <w:tc>
          <w:tcPr>
            <w:tcW w:type="dxa" w:w="1211"/>
          </w:tcPr>
          <w:p>
            <w:r/>
            <w:r>
              <w:rPr>
                <w:rFonts w:ascii="Times New Roman" w:hAnsi="Times New Roman" w:eastAsia="Times New Roman"/>
                <w:sz w:val="20"/>
              </w:rPr>
              <w:t>⭐⭐⭐⭐</w:t>
            </w:r>
          </w:p>
        </w:tc>
        <w:tc>
          <w:tcPr>
            <w:tcW w:type="dxa" w:w="1211"/>
          </w:tcPr>
          <w:p>
            <w:r/>
            <w:r>
              <w:rPr>
                <w:rFonts w:ascii="Times New Roman" w:hAnsi="Times New Roman" w:eastAsia="Times New Roman"/>
                <w:sz w:val="20"/>
              </w:rPr>
              <w:t>Tốt cho hàm ý chính sách + dịch vụ học đường</w:t>
            </w:r>
          </w:p>
        </w:tc>
      </w:tr>
      <w:tr>
        <w:tc>
          <w:tcPr>
            <w:tcW w:type="dxa" w:w="1211"/>
          </w:tcPr>
          <w:p>
            <w:r/>
            <w:r>
              <w:rPr>
                <w:rFonts w:ascii="Times New Roman" w:hAnsi="Times New Roman" w:eastAsia="Times New Roman"/>
                <w:sz w:val="20"/>
              </w:rPr>
              <w:t>6</w:t>
            </w:r>
          </w:p>
        </w:tc>
        <w:tc>
          <w:tcPr>
            <w:tcW w:type="dxa" w:w="1211"/>
          </w:tcPr>
          <w:p>
            <w:r/>
            <w:r>
              <w:rPr>
                <w:rFonts w:ascii="Times New Roman" w:hAnsi="Times New Roman" w:eastAsia="Times New Roman"/>
                <w:sz w:val="20"/>
              </w:rPr>
              <w:t>Frontiers in Psychology</w:t>
            </w:r>
          </w:p>
        </w:tc>
        <w:tc>
          <w:tcPr>
            <w:tcW w:type="dxa" w:w="1211"/>
          </w:tcPr>
          <w:p>
            <w:r/>
            <w:r>
              <w:rPr>
                <w:rFonts w:ascii="Times New Roman" w:hAnsi="Times New Roman" w:eastAsia="Times New Roman"/>
                <w:sz w:val="20"/>
              </w:rPr>
              <w:t>3,27</w:t>
            </w:r>
          </w:p>
        </w:tc>
        <w:tc>
          <w:tcPr>
            <w:tcW w:type="dxa" w:w="1211"/>
          </w:tcPr>
          <w:p>
            <w:r/>
            <w:r>
              <w:rPr>
                <w:rFonts w:ascii="Times New Roman" w:hAnsi="Times New Roman" w:eastAsia="Times New Roman"/>
                <w:sz w:val="20"/>
              </w:rPr>
              <w:t>Q2</w:t>
            </w:r>
          </w:p>
        </w:tc>
        <w:tc>
          <w:tcPr>
            <w:tcW w:type="dxa" w:w="1211"/>
          </w:tcPr>
          <w:p>
            <w:r/>
            <w:r>
              <w:rPr>
                <w:rFonts w:ascii="Times New Roman" w:hAnsi="Times New Roman" w:eastAsia="Times New Roman"/>
                <w:sz w:val="20"/>
              </w:rPr>
              <w:t>~$2.500</w:t>
            </w:r>
          </w:p>
        </w:tc>
        <w:tc>
          <w:tcPr>
            <w:tcW w:type="dxa" w:w="1211"/>
          </w:tcPr>
          <w:p>
            <w:r/>
            <w:r>
              <w:rPr>
                <w:rFonts w:ascii="Times New Roman" w:hAnsi="Times New Roman" w:eastAsia="Times New Roman"/>
                <w:sz w:val="20"/>
              </w:rPr>
              <w:t>~77 ngày</w:t>
            </w:r>
          </w:p>
        </w:tc>
        <w:tc>
          <w:tcPr>
            <w:tcW w:type="dxa" w:w="1211"/>
          </w:tcPr>
          <w:p>
            <w:r/>
            <w:r>
              <w:rPr>
                <w:rFonts w:ascii="Times New Roman" w:hAnsi="Times New Roman" w:eastAsia="Times New Roman"/>
                <w:sz w:val="20"/>
              </w:rPr>
              <w:t>⭐⭐⭐⭐</w:t>
            </w:r>
          </w:p>
        </w:tc>
        <w:tc>
          <w:tcPr>
            <w:tcW w:type="dxa" w:w="1211"/>
          </w:tcPr>
          <w:p>
            <w:r/>
            <w:r>
              <w:rPr>
                <w:rFonts w:ascii="Times New Roman" w:hAnsi="Times New Roman" w:eastAsia="Times New Roman"/>
                <w:sz w:val="20"/>
              </w:rPr>
              <w:t>Phù hợp khi nhấn psychology developmental</w:t>
            </w:r>
          </w:p>
        </w:tc>
      </w:tr>
      <w:tr>
        <w:tc>
          <w:tcPr>
            <w:tcW w:type="dxa" w:w="1211"/>
          </w:tcPr>
          <w:p>
            <w:r/>
            <w:r>
              <w:rPr>
                <w:rFonts w:ascii="Times New Roman" w:hAnsi="Times New Roman" w:eastAsia="Times New Roman"/>
                <w:sz w:val="20"/>
              </w:rPr>
              <w:t>7</w:t>
            </w:r>
          </w:p>
        </w:tc>
        <w:tc>
          <w:tcPr>
            <w:tcW w:type="dxa" w:w="1211"/>
          </w:tcPr>
          <w:p>
            <w:r/>
            <w:r>
              <w:rPr>
                <w:rFonts w:ascii="Times New Roman" w:hAnsi="Times New Roman" w:eastAsia="Times New Roman"/>
                <w:sz w:val="20"/>
              </w:rPr>
              <w:t>Journal of Mental Health</w:t>
            </w:r>
          </w:p>
        </w:tc>
        <w:tc>
          <w:tcPr>
            <w:tcW w:type="dxa" w:w="1211"/>
          </w:tcPr>
          <w:p>
            <w:r/>
            <w:r>
              <w:rPr>
                <w:rFonts w:ascii="Times New Roman" w:hAnsi="Times New Roman" w:eastAsia="Times New Roman"/>
                <w:sz w:val="20"/>
              </w:rPr>
              <w:t>~2,5</w:t>
            </w:r>
          </w:p>
        </w:tc>
        <w:tc>
          <w:tcPr>
            <w:tcW w:type="dxa" w:w="1211"/>
          </w:tcPr>
          <w:p>
            <w:r/>
            <w:r>
              <w:rPr>
                <w:rFonts w:ascii="Times New Roman" w:hAnsi="Times New Roman" w:eastAsia="Times New Roman"/>
                <w:sz w:val="20"/>
              </w:rPr>
              <w:t>Q2</w:t>
            </w:r>
          </w:p>
        </w:tc>
        <w:tc>
          <w:tcPr>
            <w:tcW w:type="dxa" w:w="1211"/>
          </w:tcPr>
          <w:p>
            <w:r/>
            <w:r>
              <w:rPr>
                <w:rFonts w:ascii="Times New Roman" w:hAnsi="Times New Roman" w:eastAsia="Times New Roman"/>
                <w:sz w:val="20"/>
              </w:rPr>
              <w:t>Hybrid (tùy chọn OA)</w:t>
            </w:r>
          </w:p>
        </w:tc>
        <w:tc>
          <w:tcPr>
            <w:tcW w:type="dxa" w:w="1211"/>
          </w:tcPr>
          <w:p>
            <w:r/>
            <w:r>
              <w:rPr>
                <w:rFonts w:ascii="Times New Roman" w:hAnsi="Times New Roman" w:eastAsia="Times New Roman"/>
                <w:sz w:val="20"/>
              </w:rPr>
              <w:t>Không rõ</w:t>
            </w:r>
          </w:p>
        </w:tc>
        <w:tc>
          <w:tcPr>
            <w:tcW w:type="dxa" w:w="1211"/>
          </w:tcPr>
          <w:p>
            <w:r/>
            <w:r>
              <w:rPr>
                <w:rFonts w:ascii="Times New Roman" w:hAnsi="Times New Roman" w:eastAsia="Times New Roman"/>
                <w:sz w:val="20"/>
              </w:rPr>
              <w:t>⭐⭐⭐</w:t>
            </w:r>
          </w:p>
        </w:tc>
        <w:tc>
          <w:tcPr>
            <w:tcW w:type="dxa" w:w="1211"/>
          </w:tcPr>
          <w:p>
            <w:r/>
            <w:r>
              <w:rPr>
                <w:rFonts w:ascii="Times New Roman" w:hAnsi="Times New Roman" w:eastAsia="Times New Roman"/>
                <w:sz w:val="20"/>
              </w:rPr>
              <w:t>T&amp;F hybrid model — đọc kỹ chính sách trước nộp</w:t>
            </w:r>
          </w:p>
        </w:tc>
      </w:tr>
      <w:tr>
        <w:tc>
          <w:tcPr>
            <w:tcW w:type="dxa" w:w="1211"/>
          </w:tcPr>
          <w:p>
            <w:r/>
            <w:r>
              <w:rPr>
                <w:rFonts w:ascii="Times New Roman" w:hAnsi="Times New Roman" w:eastAsia="Times New Roman"/>
                <w:sz w:val="20"/>
              </w:rPr>
              <w:t>8</w:t>
            </w:r>
          </w:p>
        </w:tc>
        <w:tc>
          <w:tcPr>
            <w:tcW w:type="dxa" w:w="1211"/>
          </w:tcPr>
          <w:p>
            <w:r/>
            <w:r>
              <w:rPr>
                <w:rFonts w:ascii="Times New Roman" w:hAnsi="Times New Roman" w:eastAsia="Times New Roman"/>
                <w:sz w:val="20"/>
              </w:rPr>
              <w:t>Journal of School Health</w:t>
            </w:r>
          </w:p>
        </w:tc>
        <w:tc>
          <w:tcPr>
            <w:tcW w:type="dxa" w:w="1211"/>
          </w:tcPr>
          <w:p>
            <w:r/>
            <w:r>
              <w:rPr>
                <w:rFonts w:ascii="Times New Roman" w:hAnsi="Times New Roman" w:eastAsia="Times New Roman"/>
                <w:sz w:val="20"/>
              </w:rPr>
              <w:t>2,04</w:t>
            </w:r>
          </w:p>
        </w:tc>
        <w:tc>
          <w:tcPr>
            <w:tcW w:type="dxa" w:w="1211"/>
          </w:tcPr>
          <w:p>
            <w:r/>
            <w:r>
              <w:rPr>
                <w:rFonts w:ascii="Times New Roman" w:hAnsi="Times New Roman" w:eastAsia="Times New Roman"/>
                <w:sz w:val="20"/>
              </w:rPr>
              <w:t>Q2 SJR</w:t>
            </w:r>
          </w:p>
        </w:tc>
        <w:tc>
          <w:tcPr>
            <w:tcW w:type="dxa" w:w="1211"/>
          </w:tcPr>
          <w:p>
            <w:r/>
            <w:r>
              <w:rPr>
                <w:rFonts w:ascii="Times New Roman" w:hAnsi="Times New Roman" w:eastAsia="Times New Roman"/>
                <w:sz w:val="20"/>
              </w:rPr>
              <w:t>Optional OA fee</w:t>
            </w:r>
          </w:p>
        </w:tc>
        <w:tc>
          <w:tcPr>
            <w:tcW w:type="dxa" w:w="1211"/>
          </w:tcPr>
          <w:p>
            <w:r/>
            <w:r>
              <w:rPr>
                <w:rFonts w:ascii="Times New Roman" w:hAnsi="Times New Roman" w:eastAsia="Times New Roman"/>
                <w:sz w:val="20"/>
              </w:rPr>
              <w:t>Không rõ</w:t>
            </w:r>
          </w:p>
        </w:tc>
        <w:tc>
          <w:tcPr>
            <w:tcW w:type="dxa" w:w="1211"/>
          </w:tcPr>
          <w:p>
            <w:r/>
            <w:r>
              <w:rPr>
                <w:rFonts w:ascii="Times New Roman" w:hAnsi="Times New Roman" w:eastAsia="Times New Roman"/>
                <w:sz w:val="20"/>
              </w:rPr>
              <w:t>⭐⭐⭐</w:t>
            </w:r>
          </w:p>
        </w:tc>
        <w:tc>
          <w:tcPr>
            <w:tcW w:type="dxa" w:w="1211"/>
          </w:tcPr>
          <w:p>
            <w:r/>
            <w:r>
              <w:rPr>
                <w:rFonts w:ascii="Times New Roman" w:hAnsi="Times New Roman" w:eastAsia="Times New Roman"/>
                <w:sz w:val="20"/>
              </w:rPr>
              <w:t>Nhấn implications học đường</w:t>
            </w:r>
          </w:p>
        </w:tc>
      </w:tr>
      <w:tr>
        <w:tc>
          <w:tcPr>
            <w:tcW w:type="dxa" w:w="1211"/>
          </w:tcPr>
          <w:p>
            <w:r/>
            <w:r>
              <w:rPr>
                <w:rFonts w:ascii="Times New Roman" w:hAnsi="Times New Roman" w:eastAsia="Times New Roman"/>
                <w:sz w:val="20"/>
              </w:rPr>
              <w:t>9</w:t>
            </w:r>
          </w:p>
        </w:tc>
        <w:tc>
          <w:tcPr>
            <w:tcW w:type="dxa" w:w="1211"/>
          </w:tcPr>
          <w:p>
            <w:r/>
            <w:r>
              <w:rPr>
                <w:rFonts w:ascii="Times New Roman" w:hAnsi="Times New Roman" w:eastAsia="Times New Roman"/>
                <w:sz w:val="20"/>
              </w:rPr>
              <w:t>School Mental Health</w:t>
            </w:r>
          </w:p>
        </w:tc>
        <w:tc>
          <w:tcPr>
            <w:tcW w:type="dxa" w:w="1211"/>
          </w:tcPr>
          <w:p>
            <w:r/>
            <w:r>
              <w:rPr>
                <w:rFonts w:ascii="Times New Roman" w:hAnsi="Times New Roman" w:eastAsia="Times New Roman"/>
                <w:sz w:val="20"/>
              </w:rPr>
              <w:t>~3,0</w:t>
            </w:r>
          </w:p>
        </w:tc>
        <w:tc>
          <w:tcPr>
            <w:tcW w:type="dxa" w:w="1211"/>
          </w:tcPr>
          <w:p>
            <w:r/>
            <w:r>
              <w:rPr>
                <w:rFonts w:ascii="Times New Roman" w:hAnsi="Times New Roman" w:eastAsia="Times New Roman"/>
                <w:sz w:val="20"/>
              </w:rPr>
              <w:t>Q2</w:t>
            </w:r>
          </w:p>
        </w:tc>
        <w:tc>
          <w:tcPr>
            <w:tcW w:type="dxa" w:w="1211"/>
          </w:tcPr>
          <w:p>
            <w:r/>
            <w:r>
              <w:rPr>
                <w:rFonts w:ascii="Times New Roman" w:hAnsi="Times New Roman" w:eastAsia="Times New Roman"/>
                <w:sz w:val="20"/>
              </w:rPr>
              <w:t>~$3k</w:t>
            </w:r>
          </w:p>
        </w:tc>
        <w:tc>
          <w:tcPr>
            <w:tcW w:type="dxa" w:w="1211"/>
          </w:tcPr>
          <w:p>
            <w:r/>
            <w:r>
              <w:rPr>
                <w:rFonts w:ascii="Times New Roman" w:hAnsi="Times New Roman" w:eastAsia="Times New Roman"/>
                <w:sz w:val="20"/>
              </w:rPr>
              <w:t>Không rõ</w:t>
            </w:r>
          </w:p>
        </w:tc>
        <w:tc>
          <w:tcPr>
            <w:tcW w:type="dxa" w:w="1211"/>
          </w:tcPr>
          <w:p>
            <w:r/>
            <w:r>
              <w:rPr>
                <w:rFonts w:ascii="Times New Roman" w:hAnsi="Times New Roman" w:eastAsia="Times New Roman"/>
                <w:sz w:val="20"/>
              </w:rPr>
              <w:t>⭐⭐⭐⭐</w:t>
            </w:r>
          </w:p>
        </w:tc>
        <w:tc>
          <w:tcPr>
            <w:tcW w:type="dxa" w:w="1211"/>
          </w:tcPr>
          <w:p>
            <w:r/>
            <w:r>
              <w:rPr>
                <w:rFonts w:ascii="Times New Roman" w:hAnsi="Times New Roman" w:eastAsia="Times New Roman"/>
                <w:sz w:val="20"/>
              </w:rPr>
              <w:t>Đúng niche school-based MH</w:t>
            </w:r>
          </w:p>
        </w:tc>
      </w:tr>
      <w:tr>
        <w:tc>
          <w:tcPr>
            <w:tcW w:type="dxa" w:w="1211"/>
          </w:tcPr>
          <w:p>
            <w:r/>
            <w:r>
              <w:rPr>
                <w:rFonts w:ascii="Times New Roman" w:hAnsi="Times New Roman" w:eastAsia="Times New Roman"/>
                <w:sz w:val="20"/>
              </w:rPr>
              <w:t>10</w:t>
            </w:r>
          </w:p>
        </w:tc>
        <w:tc>
          <w:tcPr>
            <w:tcW w:type="dxa" w:w="1211"/>
          </w:tcPr>
          <w:p>
            <w:r/>
            <w:r>
              <w:rPr>
                <w:rFonts w:ascii="Times New Roman" w:hAnsi="Times New Roman" w:eastAsia="Times New Roman"/>
                <w:sz w:val="20"/>
              </w:rPr>
              <w:t>PLOS ONE</w:t>
            </w:r>
          </w:p>
        </w:tc>
        <w:tc>
          <w:tcPr>
            <w:tcW w:type="dxa" w:w="1211"/>
          </w:tcPr>
          <w:p>
            <w:r/>
            <w:r>
              <w:rPr>
                <w:rFonts w:ascii="Times New Roman" w:hAnsi="Times New Roman" w:eastAsia="Times New Roman"/>
                <w:sz w:val="20"/>
              </w:rPr>
              <w:t>2,60</w:t>
            </w:r>
          </w:p>
        </w:tc>
        <w:tc>
          <w:tcPr>
            <w:tcW w:type="dxa" w:w="1211"/>
          </w:tcPr>
          <w:p>
            <w:r/>
            <w:r>
              <w:rPr>
                <w:rFonts w:ascii="Times New Roman" w:hAnsi="Times New Roman" w:eastAsia="Times New Roman"/>
                <w:sz w:val="20"/>
              </w:rPr>
              <w:t>Q2 WoS / Q1 PubMed</w:t>
            </w:r>
          </w:p>
        </w:tc>
        <w:tc>
          <w:tcPr>
            <w:tcW w:type="dxa" w:w="1211"/>
          </w:tcPr>
          <w:p>
            <w:r/>
            <w:r>
              <w:rPr>
                <w:rFonts w:ascii="Times New Roman" w:hAnsi="Times New Roman" w:eastAsia="Times New Roman"/>
                <w:sz w:val="20"/>
              </w:rPr>
              <w:t>$1.695 (OA)</w:t>
            </w:r>
          </w:p>
        </w:tc>
        <w:tc>
          <w:tcPr>
            <w:tcW w:type="dxa" w:w="1211"/>
          </w:tcPr>
          <w:p>
            <w:r/>
            <w:r>
              <w:rPr>
                <w:rFonts w:ascii="Times New Roman" w:hAnsi="Times New Roman" w:eastAsia="Times New Roman"/>
                <w:sz w:val="20"/>
              </w:rPr>
              <w:t>~185 ngày</w:t>
            </w:r>
          </w:p>
        </w:tc>
        <w:tc>
          <w:tcPr>
            <w:tcW w:type="dxa" w:w="1211"/>
          </w:tcPr>
          <w:p>
            <w:r/>
            <w:r>
              <w:rPr>
                <w:rFonts w:ascii="Times New Roman" w:hAnsi="Times New Roman" w:eastAsia="Times New Roman"/>
                <w:sz w:val="20"/>
              </w:rPr>
              <w:t>⭐⭐⭐</w:t>
            </w:r>
          </w:p>
        </w:tc>
        <w:tc>
          <w:tcPr>
            <w:tcW w:type="dxa" w:w="1211"/>
          </w:tcPr>
          <w:p>
            <w:r/>
            <w:r>
              <w:rPr>
                <w:rFonts w:ascii="Times New Roman" w:hAnsi="Times New Roman" w:eastAsia="Times New Roman"/>
                <w:sz w:val="20"/>
              </w:rPr>
              <w:t>Acceptance rate cao ~50%; broad scope</w:t>
            </w:r>
          </w:p>
        </w:tc>
      </w:tr>
      <w:tr>
        <w:tc>
          <w:tcPr>
            <w:tcW w:type="dxa" w:w="1211"/>
          </w:tcPr>
          <w:p>
            <w:r/>
            <w:r>
              <w:rPr>
                <w:rFonts w:ascii="Times New Roman" w:hAnsi="Times New Roman" w:eastAsia="Times New Roman"/>
                <w:sz w:val="20"/>
              </w:rPr>
              <w:t>11</w:t>
            </w:r>
          </w:p>
        </w:tc>
        <w:tc>
          <w:tcPr>
            <w:tcW w:type="dxa" w:w="1211"/>
          </w:tcPr>
          <w:p>
            <w:r/>
            <w:r>
              <w:rPr>
                <w:rFonts w:ascii="Times New Roman" w:hAnsi="Times New Roman" w:eastAsia="Times New Roman"/>
                <w:sz w:val="20"/>
              </w:rPr>
              <w:t>Cambridge Prisms: Global Mental Health</w:t>
            </w:r>
          </w:p>
        </w:tc>
        <w:tc>
          <w:tcPr>
            <w:tcW w:type="dxa" w:w="1211"/>
          </w:tcPr>
          <w:p>
            <w:r/>
            <w:r>
              <w:rPr>
                <w:rFonts w:ascii="Times New Roman" w:hAnsi="Times New Roman" w:eastAsia="Times New Roman"/>
                <w:sz w:val="20"/>
              </w:rPr>
              <w:t>~3,5</w:t>
            </w:r>
          </w:p>
        </w:tc>
        <w:tc>
          <w:tcPr>
            <w:tcW w:type="dxa" w:w="1211"/>
          </w:tcPr>
          <w:p>
            <w:r/>
            <w:r>
              <w:rPr>
                <w:rFonts w:ascii="Times New Roman" w:hAnsi="Times New Roman" w:eastAsia="Times New Roman"/>
                <w:sz w:val="20"/>
              </w:rPr>
              <w:t>Q2</w:t>
            </w:r>
          </w:p>
        </w:tc>
        <w:tc>
          <w:tcPr>
            <w:tcW w:type="dxa" w:w="1211"/>
          </w:tcPr>
          <w:p>
            <w:r/>
            <w:r>
              <w:rPr>
                <w:rFonts w:ascii="Times New Roman" w:hAnsi="Times New Roman" w:eastAsia="Times New Roman"/>
                <w:sz w:val="20"/>
              </w:rPr>
              <w:t>$2.500 (OA)</w:t>
            </w:r>
          </w:p>
        </w:tc>
        <w:tc>
          <w:tcPr>
            <w:tcW w:type="dxa" w:w="1211"/>
          </w:tcPr>
          <w:p>
            <w:r/>
            <w:r>
              <w:rPr>
                <w:rFonts w:ascii="Times New Roman" w:hAnsi="Times New Roman" w:eastAsia="Times New Roman"/>
                <w:sz w:val="20"/>
              </w:rPr>
              <w:t>Không rõ</w:t>
            </w:r>
          </w:p>
        </w:tc>
        <w:tc>
          <w:tcPr>
            <w:tcW w:type="dxa" w:w="1211"/>
          </w:tcPr>
          <w:p>
            <w:r/>
            <w:r>
              <w:rPr>
                <w:rFonts w:ascii="Times New Roman" w:hAnsi="Times New Roman" w:eastAsia="Times New Roman"/>
                <w:sz w:val="20"/>
              </w:rPr>
              <w:t>⭐⭐⭐⭐</w:t>
            </w:r>
          </w:p>
        </w:tc>
        <w:tc>
          <w:tcPr>
            <w:tcW w:type="dxa" w:w="1211"/>
          </w:tcPr>
          <w:p>
            <w:r/>
            <w:r>
              <w:rPr>
                <w:rFonts w:ascii="Times New Roman" w:hAnsi="Times New Roman" w:eastAsia="Times New Roman"/>
                <w:sz w:val="20"/>
              </w:rPr>
              <w:t>LMIC focus — Vietnamese authors welcome</w:t>
            </w:r>
          </w:p>
        </w:tc>
      </w:tr>
      <w:tr>
        <w:tc>
          <w:tcPr>
            <w:tcW w:type="dxa" w:w="1211"/>
          </w:tcPr>
          <w:p>
            <w:r/>
            <w:r>
              <w:rPr>
                <w:rFonts w:ascii="Times New Roman" w:hAnsi="Times New Roman" w:eastAsia="Times New Roman"/>
                <w:sz w:val="20"/>
              </w:rPr>
              <w:t>12</w:t>
            </w:r>
          </w:p>
        </w:tc>
        <w:tc>
          <w:tcPr>
            <w:tcW w:type="dxa" w:w="1211"/>
          </w:tcPr>
          <w:p>
            <w:r/>
            <w:r>
              <w:rPr>
                <w:rFonts w:ascii="Times New Roman" w:hAnsi="Times New Roman" w:eastAsia="Times New Roman"/>
                <w:sz w:val="20"/>
              </w:rPr>
              <w:t>Vulnerable Children and Youth Studies</w:t>
            </w:r>
          </w:p>
        </w:tc>
        <w:tc>
          <w:tcPr>
            <w:tcW w:type="dxa" w:w="1211"/>
          </w:tcPr>
          <w:p>
            <w:r/>
            <w:r>
              <w:rPr>
                <w:rFonts w:ascii="Times New Roman" w:hAnsi="Times New Roman" w:eastAsia="Times New Roman"/>
                <w:sz w:val="20"/>
              </w:rPr>
              <w:t>~1,3</w:t>
            </w:r>
          </w:p>
        </w:tc>
        <w:tc>
          <w:tcPr>
            <w:tcW w:type="dxa" w:w="1211"/>
          </w:tcPr>
          <w:p>
            <w:r/>
            <w:r>
              <w:rPr>
                <w:rFonts w:ascii="Times New Roman" w:hAnsi="Times New Roman" w:eastAsia="Times New Roman"/>
                <w:sz w:val="20"/>
              </w:rPr>
              <w:t>Q3</w:t>
            </w:r>
          </w:p>
        </w:tc>
        <w:tc>
          <w:tcPr>
            <w:tcW w:type="dxa" w:w="1211"/>
          </w:tcPr>
          <w:p>
            <w:r/>
            <w:r>
              <w:rPr>
                <w:rFonts w:ascii="Times New Roman" w:hAnsi="Times New Roman" w:eastAsia="Times New Roman"/>
                <w:sz w:val="20"/>
              </w:rPr>
              <w:t>Hybrid</w:t>
            </w:r>
          </w:p>
        </w:tc>
        <w:tc>
          <w:tcPr>
            <w:tcW w:type="dxa" w:w="1211"/>
          </w:tcPr>
          <w:p>
            <w:r/>
            <w:r>
              <w:rPr>
                <w:rFonts w:ascii="Times New Roman" w:hAnsi="Times New Roman" w:eastAsia="Times New Roman"/>
                <w:sz w:val="20"/>
              </w:rPr>
              <w:t>Không rõ</w:t>
            </w:r>
          </w:p>
        </w:tc>
        <w:tc>
          <w:tcPr>
            <w:tcW w:type="dxa" w:w="1211"/>
          </w:tcPr>
          <w:p>
            <w:r/>
            <w:r>
              <w:rPr>
                <w:rFonts w:ascii="Times New Roman" w:hAnsi="Times New Roman" w:eastAsia="Times New Roman"/>
                <w:sz w:val="20"/>
              </w:rPr>
              <w:t>⭐⭐⭐</w:t>
            </w:r>
          </w:p>
        </w:tc>
        <w:tc>
          <w:tcPr>
            <w:tcW w:type="dxa" w:w="1211"/>
          </w:tcPr>
          <w:p>
            <w:r/>
            <w:r>
              <w:rPr>
                <w:rFonts w:ascii="Times New Roman" w:hAnsi="Times New Roman" w:eastAsia="Times New Roman"/>
                <w:sz w:val="20"/>
              </w:rPr>
              <w:t>Backup khi cascade reject từ tier cao hơn</w:t>
            </w:r>
          </w:p>
        </w:tc>
      </w:tr>
    </w:tbl>
    <w:p>
      <w:pPr>
        <w:spacing w:before="160" w:after="80" w:line="276" w:lineRule="auto"/>
      </w:pPr>
      <w:r>
        <w:rPr>
          <w:rFonts w:ascii="Times New Roman" w:hAnsi="Times New Roman" w:eastAsia="Times New Roman"/>
          <w:b/>
          <w:i/>
          <w:sz w:val="24"/>
        </w:rPr>
        <w:t>Submission cascade strategy</w:t>
      </w:r>
    </w:p>
    <w:p>
      <w:pPr>
        <w:spacing w:before="60" w:after="60" w:line="276" w:lineRule="auto"/>
        <w:ind w:firstLine="170"/>
        <w:jc w:val="both"/>
      </w:pPr>
      <w:r>
        <w:rPr>
          <w:rFonts w:ascii="Times New Roman" w:hAnsi="Times New Roman" w:eastAsia="Times New Roman"/>
          <w:sz w:val="24"/>
        </w:rPr>
        <w:t>• Tier 1 — prestige + speed (weeks 0–12). Submit to Frontiers in Psychiatry first; decision in ~77 days. If rejected, submit to Asian Journal of Psychiatry (best cultural fit).</w:t>
      </w:r>
    </w:p>
    <w:p>
      <w:pPr>
        <w:spacing w:before="60" w:after="60" w:line="276" w:lineRule="auto"/>
        <w:ind w:firstLine="170"/>
        <w:jc w:val="both"/>
      </w:pPr>
      <w:r>
        <w:rPr>
          <w:rFonts w:ascii="Times New Roman" w:hAnsi="Times New Roman" w:eastAsia="Times New Roman"/>
          <w:sz w:val="24"/>
        </w:rPr>
        <w:t>• Tier 2 — Springer/Wiley backup (weeks 12–24). If Tier 1 rejects, submit to Child Psychiatry &amp; Human Development or School Mental Health (both Springer ecosystem).</w:t>
      </w:r>
    </w:p>
    <w:p>
      <w:pPr>
        <w:spacing w:before="60" w:after="60" w:line="276" w:lineRule="auto"/>
        <w:ind w:firstLine="170"/>
        <w:jc w:val="both"/>
      </w:pPr>
      <w:r>
        <w:rPr>
          <w:rFonts w:ascii="Times New Roman" w:hAnsi="Times New Roman" w:eastAsia="Times New Roman"/>
          <w:sz w:val="24"/>
        </w:rPr>
        <w:t>• Tier 3 — open-access broad (weeks 24–36). If Tier 2 rejects, BMC Psychology (€1,390 — cheapest) or Frontiers in Psychology. Cambridge Prisms: Global Mental Health is particularly suitable due to its LMIC focus.</w:t>
      </w:r>
    </w:p>
    <w:p>
      <w:pPr>
        <w:spacing w:before="60" w:after="60" w:line="276" w:lineRule="auto"/>
        <w:ind w:firstLine="170"/>
        <w:jc w:val="both"/>
      </w:pPr>
      <w:r>
        <w:rPr>
          <w:rFonts w:ascii="Times New Roman" w:hAnsi="Times New Roman" w:eastAsia="Times New Roman"/>
          <w:sz w:val="24"/>
        </w:rPr>
        <w:t>• Tier 4 — policy/services or Q3 (weeks 36+). If still rejected, Children and Youth Services Review (policy lane), Journal of School Health (school-based emphasis), or Vulnerable Children and Youth Studies (safe Q3 fallback).</w:t>
      </w:r>
    </w:p>
    <w:p>
      <w:pPr>
        <w:spacing w:before="160" w:after="80" w:line="276" w:lineRule="auto"/>
      </w:pPr>
      <w:r>
        <w:rPr>
          <w:rFonts w:ascii="Times New Roman" w:hAnsi="Times New Roman" w:eastAsia="Times New Roman"/>
          <w:b/>
          <w:i/>
          <w:sz w:val="24"/>
        </w:rPr>
        <w:t>Warnings to avoid</w:t>
      </w:r>
    </w:p>
    <w:p>
      <w:pPr>
        <w:spacing w:before="60" w:after="60" w:line="276" w:lineRule="auto"/>
        <w:ind w:firstLine="170"/>
        <w:jc w:val="both"/>
      </w:pPr>
      <w:r>
        <w:rPr>
          <w:rFonts w:ascii="Times New Roman" w:hAnsi="Times New Roman" w:eastAsia="Times New Roman"/>
          <w:sz w:val="24"/>
        </w:rPr>
        <w:t>• Avoid MDPI International Journal of Environmental Research and Public Health (IJERPH) — Clarivate de-indexed this journal from Web of Science in 2024 due to citation-inflation concerns.</w:t>
      </w:r>
    </w:p>
    <w:p>
      <w:pPr>
        <w:spacing w:before="60" w:after="60" w:line="276" w:lineRule="auto"/>
        <w:ind w:firstLine="170"/>
        <w:jc w:val="both"/>
      </w:pPr>
      <w:r>
        <w:rPr>
          <w:rFonts w:ascii="Times New Roman" w:hAnsi="Times New Roman" w:eastAsia="Times New Roman"/>
          <w:sz w:val="24"/>
        </w:rPr>
        <w:t>• Use caution with hybrid (subscription + OA) journals — read APC policies carefully.</w:t>
      </w:r>
    </w:p>
    <w:p>
      <w:pPr>
        <w:spacing w:before="60" w:after="60" w:line="276" w:lineRule="auto"/>
        <w:ind w:firstLine="170"/>
        <w:jc w:val="both"/>
      </w:pPr>
      <w:r>
        <w:rPr>
          <w:rFonts w:ascii="Times New Roman" w:hAnsi="Times New Roman" w:eastAsia="Times New Roman"/>
          <w:sz w:val="24"/>
        </w:rPr>
        <w:t>• Avoid journals with acceptance rates below 10% unless the manuscript has been professionally English-edited.</w:t>
      </w:r>
    </w:p>
    <w:p>
      <w:pPr>
        <w:spacing w:before="160" w:after="80" w:line="276" w:lineRule="auto"/>
      </w:pPr>
      <w:r>
        <w:rPr>
          <w:rFonts w:ascii="Times New Roman" w:hAnsi="Times New Roman" w:eastAsia="Times New Roman"/>
          <w:b/>
          <w:i/>
          <w:sz w:val="24"/>
        </w:rPr>
        <w:t>Submission preparation notes</w:t>
      </w:r>
    </w:p>
    <w:p>
      <w:pPr>
        <w:spacing w:before="60" w:after="60" w:line="276" w:lineRule="auto"/>
        <w:ind w:firstLine="170"/>
        <w:jc w:val="both"/>
      </w:pPr>
      <w:r>
        <w:rPr>
          <w:rFonts w:ascii="Times New Roman" w:hAnsi="Times New Roman" w:eastAsia="Times New Roman"/>
          <w:sz w:val="24"/>
        </w:rPr>
        <w:t>• All Q2–Q3 journals require a short cover letter (≤ 1 page) highlighting novelty and scope fit.</w:t>
      </w:r>
    </w:p>
    <w:p>
      <w:pPr>
        <w:spacing w:before="60" w:after="60" w:line="276" w:lineRule="auto"/>
        <w:ind w:firstLine="170"/>
        <w:jc w:val="both"/>
      </w:pPr>
      <w:r>
        <w:rPr>
          <w:rFonts w:ascii="Times New Roman" w:hAnsi="Times New Roman" w:eastAsia="Times New Roman"/>
          <w:sz w:val="24"/>
        </w:rPr>
        <w:t>• The manuscript should be edited by a native English speaker (Editage, Enago, American Journal Experts) before Tier 1 submission, since Frontiers / Springer / Elsevier journals may desk-reject on language grounds.</w:t>
      </w:r>
    </w:p>
    <w:p>
      <w:pPr>
        <w:spacing w:before="60" w:after="60" w:line="276" w:lineRule="auto"/>
        <w:ind w:firstLine="170"/>
        <w:jc w:val="both"/>
      </w:pPr>
      <w:r>
        <w:rPr>
          <w:rFonts w:ascii="Times New Roman" w:hAnsi="Times New Roman" w:eastAsia="Times New Roman"/>
          <w:sz w:val="24"/>
        </w:rPr>
        <w:t>• Declare AI tool (LLM) usage in the cover letter and Methods section, in line with the 2024 policies of major publishers (Elsevier, Springer, Wiley, Frontiers).</w:t>
      </w:r>
    </w:p>
    <w:p>
      <w:pPr>
        <w:spacing w:before="60" w:after="60" w:line="276" w:lineRule="auto"/>
        <w:ind w:firstLine="170"/>
        <w:jc w:val="both"/>
      </w:pPr>
      <w:r>
        <w:rPr>
          <w:rFonts w:ascii="Times New Roman" w:hAnsi="Times New Roman" w:eastAsia="Times New Roman"/>
          <w:sz w:val="24"/>
        </w:rPr>
        <w:t>• Explicitly cite the three companion papers (Công and Đào, 2026 validation; two VJES narrative reviews) in Introduction and Methods to avoid editor concerns about salami slicing.</w:t>
      </w:r>
    </w:p>
    <w:sectPr w:rsidR="00FC693F" w:rsidRPr="0006063C"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2026-05-01T09:00:00Z</dcterms:created>
  <dcterms:modified xsi:type="dcterms:W3CDTF">2026-05-15T09:00:00Z</dcterms:modified>
  <cp:category/>
</cp:coreProperties>
</file>