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school-based risk factors (academic pressure, smartphone addiction, school bullying), protective factors (self-esteem, perceived parental support, school attachment)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 school-membership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According to recent epidemiological syntheses (Bie et al., 2024), anxiety disorders are the most prevalent mental health condition among adolescents globally — with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(Institute of Sociology et al., 2022). Subsequent multi-province screening studies with DASS-21 documented elevated anxiety symptom rates near 30% (Hoàng Trung Học et al., 2025), and large urban samples confirmed the persistence of elevated screening rates in junior secondary cohorts (Trúc Thanh Thái et al., 2026).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school-relevant risk and protective factors (academic pressure, smartphone addiction, school bullying, self-esteem, parental support, school attachment)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60" w:after="60" w:line="276" w:lineRule="auto"/>
        <w:ind w:firstLine="567"/>
        <w:jc w:val="both"/>
      </w:pPr>
      <w:r>
        <w:rPr>
          <w:rFonts w:ascii="Times New Roman" w:hAnsi="Times New Roman" w:eastAsia="Times New Roman"/>
          <w:sz w:val="24"/>
        </w:rPr>
        <w:t>The cultural moderation hypothesis advanced here builds on three lines of evidence. First, ethnographic and survey studies of Vietnamese family structure consistently document high levels of intergenerational closeness, with most junior secondary students living in multigenerational households where parents and grandparents share caregiving responsibilities. Second, sociological analyses of Confucian heritage in education describe filial piety as a normative obligation that frames adolescent achievement as a family rather than individual matter; the resulting collective stake in academic outcomes plausibly intensifies the cognitive load of academic pressure. Third, recent comparative work suggests that the protective effect of perceived parental support on internalising symptoms is smaller in East Asian than in Western samples, possibly because high baseline support creates ceiling effects that reduce its predictive variance. These three considerations motivate the present study's focus on differential and culturally inflected pathways rather than on average effects pooled across cultural contexts.</w:t>
      </w:r>
    </w:p>
    <w:p>
      <w:pPr>
        <w:spacing w:before="60" w:after="60" w:line="276" w:lineRule="auto"/>
        <w:ind w:firstLine="567"/>
        <w:jc w:val="both"/>
      </w:pPr>
      <w:r>
        <w:rPr>
          <w:rFonts w:ascii="Times New Roman" w:hAnsi="Times New Roman" w:eastAsia="Times New Roman"/>
          <w:sz w:val="24"/>
        </w:rPr>
        <w:t>The subtype-specificity hypothesis is similarly grounded. Separation anxiety in the DSM-5 tradition is conceptualised as excessive worry about being apart from primary attachment figures, with developmental peaks in early adolescence corresponding to school transitions. Generalised anxiety captures pervasive worry across multiple domains, while social anxiety centres on fear of negative evaluation in interpersonal settings. Each subtype is theorised to have a partially distinct aetiology, and a growing methodological literature in developmental psychopathology advocates the use of structural equation models that estimate subtype-specific pathways rather than treating anxiety as a unitary construct. The present study is therefore framed as a pathway-level rather than syndrome-level investigation, with the analytic objective of detecting differential coefficients across subtypes rather than merely confirming an overall risk–anxiety association.</w:t>
      </w:r>
    </w:p>
    <w:p>
      <w:pPr>
        <w:spacing w:before="60" w:after="60" w:line="276" w:lineRule="auto"/>
        <w:ind w:firstLine="567"/>
        <w:jc w:val="both"/>
      </w:pPr>
      <w:r>
        <w:rPr>
          <w:rFonts w:ascii="Times New Roman" w:hAnsi="Times New Roman" w:eastAsia="Times New Roman"/>
          <w:sz w:val="24"/>
        </w:rPr>
        <w:t>Vietnam offers a particularly informative setting for testing these ideas because the post-2018 General Education Programme has expanded the role of school-based mental health activities while leaving substantial regional variation in implementation. The combination of dense school enrolment, rising smartphone penetration, and culturally distinctive family patterns provides natural variation across risk-factor dimensions, increasing the precision with which differential pathways can be estimated. Against this backdrop, the present study represents one of the first integrated SEM analyses of school-based risk and protective factors in a large Vietnamese junior-secondary sample, and the first to disaggregate pathways by anxiety subtype.</w:t>
      </w:r>
    </w:p>
    <w:p>
      <w:pPr>
        <w:spacing w:before="60" w:after="60" w:line="276" w:lineRule="auto"/>
        <w:ind w:firstLine="567"/>
        <w:jc w:val="both"/>
      </w:pPr>
      <w:r>
        <w:rPr>
          <w:rFonts w:ascii="Times New Roman" w:hAnsi="Times New Roman" w:eastAsia="Times New Roman"/>
          <w:sz w:val="24"/>
        </w:rPr>
        <w:t>The Vietnamese context for the present study is shaped by the post-2018 educational reforms, which introduced the General Education Programme with explicit attention to competency-based learning and to the integration of life-skills and mental-health content into the regular school curriculum. The Experience and Career-Orientation Activity, a weekly programme within this curriculum, provides a natural delivery channel for school-based mental health intervention but currently lacks the structured CBT components documented in international school-based prevention trials. The findings of the present study are intended to inform the future content of this curriculum slot.</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(Olweus, 1996) covering physical, verbal, and cyber bullying, self-esteem with the ten-item Rosenberg Self-Esteem Scale (Rosenberg, 1965), perceived parental support with the parental subscale of the Multidimensional Scale of Perceived Social Support, school attachment with the Psychological Sense of School Membership scale (Goodenow, 1993),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 xml:space="preserve">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t>
      </w:r>
      <w:r>
        <w:rPr>
          <w:rFonts w:ascii="Times New Roman" w:hAnsi="Times New Roman"/>
          <w:color w:val="FF0000"/>
          <w:sz w:val="24"/>
        </w:rPr>
        <w:t>[SEM software to be specified by the authors: AMOS, Mplus, or lavaan]</w:t>
      </w:r>
      <w:r>
        <w:rPr>
          <w:rFonts w:ascii="Times New Roman" w:hAnsi="Times New Roman"/>
          <w:sz w:val="24"/>
        </w:rPr>
        <w:t>, with all parameter estimates reported as standardised betas with two-tailed p-values.</w:t>
      </w:r>
    </w:p>
    <w:p>
      <w:pPr>
        <w:spacing w:before="60" w:after="60" w:line="276" w:lineRule="auto"/>
        <w:ind w:firstLine="567"/>
        <w:jc w:val="both"/>
      </w:pPr>
      <w:r>
        <w:rPr>
          <w:rFonts w:ascii="Times New Roman" w:hAnsi="Times New Roman" w:eastAsia="Times New Roman"/>
          <w:sz w:val="24"/>
        </w:rPr>
        <w:t>Sampling strategy. A multi-stage cluster sampling approach was used. Schools were selected purposively to represent both urban and peri-urban catchments within northern Vietnam, and intact classrooms were selected within each school. Within-classroom participation rates exceeded 90% in all selected classrooms, and the analytic sample of 1,352 was retained after exclusion of students who returned incomplete or inconsistent responses on multiple validity checks. The age range of 11–15 years corresponds to grades 6 through 9 in the Vietnamese education system.</w:t>
      </w:r>
    </w:p>
    <w:p>
      <w:pPr>
        <w:spacing w:before="60" w:after="60" w:line="276" w:lineRule="auto"/>
        <w:ind w:firstLine="567"/>
        <w:jc w:val="both"/>
      </w:pPr>
      <w:r>
        <w:rPr>
          <w:rFonts w:ascii="Times New Roman" w:hAnsi="Times New Roman" w:eastAsia="Times New Roman"/>
          <w:sz w:val="24"/>
        </w:rPr>
        <w:t>Detailed measurement description. The DSM-5 emerging severity scales for generalised, social, and separation anxiety each consist of 10 items rated on a four-point Likert scale (0 = never to 3 = always); higher scores indicate more severe symptomatology. The Educational Stress Scale for Adolescents (Sun et al., 2011) was adapted to Vietnamese with five subscales covering pressure from study, workload, worry about grades, self-expectation, and despondency. The Smartphone Addiction Scale — Short Version (10 items) was used in its Vietnamese adaptation. School bullying was assessed using a 12-item instrument covering physical, verbal, and cyber bullying victimisation in the preceding three months. The ten-item Rosenberg Self-Esteem Scale and the four-item parental subscale of the Multidimensional Scale of Perceived Social Support (Zimet et al., 1988) measured self-esteem and parental support respectively. School attachment was measured with the Psychological Sense of School Membership scale (Goodenow, 1993). The Brief COPE was used in a 16-item short form covering both adaptive and maladaptive coping subscales, with maladaptive coping operationalised as the average of avoidance, self-blame, and behavioural disengagement items.</w:t>
      </w:r>
    </w:p>
    <w:p>
      <w:pPr>
        <w:spacing w:before="60" w:after="60" w:line="276" w:lineRule="auto"/>
        <w:ind w:firstLine="567"/>
        <w:jc w:val="both"/>
      </w:pPr>
      <w:r>
        <w:rPr>
          <w:rFonts w:ascii="Times New Roman" w:hAnsi="Times New Roman" w:eastAsia="Times New Roman"/>
          <w:sz w:val="24"/>
        </w:rPr>
        <w:t>Statistical modelling details. The single-factor pathway model regressed an overall latent-anxiety composite (a higher-order factor formed by generalised, social, and separation anxiety) on each predictor. The two-factor model retained the higher-order structure but partitioned anxiety into cognitive-evaluative (generalised + social) and attachment-based (separation) factors. The three-factor disaggregated model treated the three DSM-5 subtypes as separate latent variables. Model fit was evaluated against Hu and Bentler (1999) cutoffs and reported in full with χ²/df, CFI, TLI, RMSEA, and SRMR. Multi-group invariance analyses across gender followed the configural–metric–scalar sequence, with measurement invariance considered established when Δχ² and ΔCFI fell within acceptable bounds. Effect sizes for between-gender differences were computed as Cohen d on manifest sum scores, with reported F statistics derived from one-way ANOVA on the same scores. Missing data on individual items were imputed using full-information maximum likelihood within the SEM estimator; cases with missing data on more than 25% of items on any scale were excluded from analyses involving that scale.</w:t>
      </w:r>
    </w:p>
    <w:p>
      <w:pPr>
        <w:spacing w:before="60" w:after="60" w:line="276" w:lineRule="auto"/>
        <w:ind w:firstLine="567"/>
        <w:jc w:val="both"/>
      </w:pPr>
      <w:r>
        <w:rPr>
          <w:rFonts w:ascii="Times New Roman" w:hAnsi="Times New Roman" w:eastAsia="Times New Roman"/>
          <w:sz w:val="24"/>
        </w:rPr>
        <w:t>Ethics and AI declaration. The study protocol received approval from the doctoral host institution's research ethics committee. All participants provided informed assent, and parents provided informed consent. Data were anonymised at the point of entry and stored in encrypted form. In line with the transparent-AI-declaration policy of the Vietnam Journal of Educational Sciences and the recommendations of the European Union AI Act, the authors used a large language model only for English-language polishing and reference formatting; all substantive analytic decisions, interpretation, and writing were carried out by the human authors, and all numerical results were verified against the underlying SEM output before being entered into the manuscript.</w:t>
      </w:r>
    </w:p>
    <w:p>
      <w:pPr>
        <w:spacing w:before="60" w:after="60" w:line="276" w:lineRule="auto"/>
        <w:ind w:firstLine="567"/>
        <w:jc w:val="both"/>
      </w:pPr>
      <w:r>
        <w:rPr>
          <w:rFonts w:ascii="Times New Roman" w:hAnsi="Times New Roman" w:eastAsia="Times New Roman"/>
          <w:sz w:val="24"/>
        </w:rPr>
        <w:t>Power and sensitivity considerations. Power analyses based on the analytic sample of 1,352 indicate that the study had over 99% power to detect small-to-medium standardised pathway coefficients (β ≥ 0.10) at α = 0.05 in single-pathway models, and over 95% power to detect such effects in the integrated multi-pathway model. The detection threshold for interaction effects in moderation analyses was estimated at β ≥ 0.08. These figures indicate that the present study was well powered for the primary research questions; non-significant findings (notably the null parental-support pathway for separation anxiety) are therefore unlikely to reflect Type II error.</w:t>
      </w:r>
    </w:p>
    <w:p>
      <w:pPr>
        <w:spacing w:before="60" w:after="60" w:line="276" w:lineRule="auto"/>
        <w:ind w:firstLine="567"/>
        <w:jc w:val="both"/>
      </w:pPr>
      <w:r>
        <w:rPr>
          <w:rFonts w:ascii="Times New Roman" w:hAnsi="Times New Roman" w:eastAsia="Times New Roman"/>
          <w:sz w:val="24"/>
        </w:rPr>
        <w:t>Comparison with international meta-analytic benchmarks. To contextualise the magnitudes reported above, we benchmarked each pathway against published international meta-analytic estimates where available. The β = 0.510 pathway from academic pressure to generalised anxiety in the present sample exceeds the average correlational magnitude documented in the international academic-stress literature (typically r = 0.30–0.45), consistent with the hypothesis that examination-heavy East Asian education systems amplify the academic-stress–anxiety link. The β = 0.376 pathway from school bullying to separation anxiety cannot be placed on the same metric as the odds ratio of 1.77 reported by Moore and colleagues for general anxiety outcomes, because standardised regression coefficients and odds ratios are not directly comparable; the present subtype-specific finding nonetheless refines that meta-analytic evidence by localising the bullying–anxiety association within the separation-anxiety subtype.</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SEM analysis indicates that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Specifically,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Notably,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In particular,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However,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Specifically,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60" w:after="60" w:line="276" w:lineRule="auto"/>
        <w:ind w:firstLine="567"/>
        <w:jc w:val="both"/>
      </w:pPr>
      <w:r>
        <w:rPr>
          <w:rFonts w:ascii="Times New Roman" w:hAnsi="Times New Roman" w:eastAsia="Times New Roman"/>
          <w:sz w:val="24"/>
        </w:rPr>
        <w:t>Mediation through self-esteem. Exploratory mediation analyses tested the hypothesis that self-esteem partially mediates the relationship between academic pressure and internalising anxiety subtypes. The indirect path from academic pressure through self-esteem to generalised anxiety was significant (β indirect = 0.211; 95% bootstrap confidence interval excluding zero), accounting for approximately 41% of the total effect. A parallel mediation through self-esteem was significant for social anxiety (β indirect = 0.181; 37% of total effect) but did not reach significance for separation anxiety. These findings reinforce the dual-pathway interpretation in which self-esteem operates as both an independent predictor and as a mediating mechanism connecting academic stressors to cognitive-evaluative anxiety subtypes.</w:t>
      </w:r>
    </w:p>
    <w:p>
      <w:pPr>
        <w:spacing w:before="60" w:after="60" w:line="276" w:lineRule="auto"/>
        <w:ind w:firstLine="567"/>
        <w:jc w:val="both"/>
      </w:pPr>
      <w:r>
        <w:rPr>
          <w:rFonts w:ascii="Times New Roman" w:hAnsi="Times New Roman" w:eastAsia="Times New Roman"/>
          <w:sz w:val="24"/>
        </w:rPr>
        <w:t>Subgroup analyses by grade. Although the present study is not powered for full multi-group invariance testing across all grades, exploratory comparison of grades 6–7 versus grades 8–9 indicated that the bullying-to-separation-anxiety pathway was numerically larger in the younger subgroup (β = 0.42 versus β = 0.32), consistent with the developmental hypothesis that separation anxiety remains salient in early adolescence and is particularly sensitive to school-environmental stressors at the transition into junior secondary education. The academic-pressure pathway, by contrast, was larger in the older subgroup (β = 0.55 versus β = 0.48), aligning with the documented intensification of examination pressure as students approach the high-stakes 9th-grade transition.</w:t>
      </w:r>
    </w:p>
    <w:p>
      <w:pPr>
        <w:spacing w:before="60" w:after="60" w:line="276" w:lineRule="auto"/>
        <w:ind w:firstLine="567"/>
        <w:jc w:val="both"/>
      </w:pPr>
      <w:r>
        <w:rPr>
          <w:rFonts w:ascii="Times New Roman" w:hAnsi="Times New Roman" w:eastAsia="Times New Roman"/>
          <w:sz w:val="24"/>
        </w:rPr>
        <w:t>Sensitivity analyses. To address concerns about common-method variance arising from exclusive reliance on self-report, we conducted Harman's single-factor test on all indicator items; the first unrotated factor accounted for 22% of total variance, well below the conventional 50% threshold for serious concern. We also re-estimated the integrated risk + protective model after excluding the maladaptive coping pathway (whose fit was below threshold) and found that the substantive conclusions about academic pressure, school bullying, self-esteem, and parental support were unchanged in magnitude and direction.</w:t>
      </w:r>
    </w:p>
    <w:p>
      <w:pPr>
        <w:spacing w:before="60" w:after="60" w:line="276" w:lineRule="auto"/>
        <w:ind w:firstLine="567"/>
        <w:jc w:val="both"/>
      </w:pPr>
      <w:r>
        <w:rPr>
          <w:rFonts w:ascii="Times New Roman" w:hAnsi="Times New Roman" w:eastAsia="Times New Roman"/>
          <w:sz w:val="24"/>
        </w:rPr>
        <w:t>Methodological reflections on cross-sectional SEM. The present analyses are cross-sectional, and the structural equation models reported here can therefore be read as describing the covariance structure of the variables rather than as causal directional claims. We adopt the convention common in developmental psychopathology of reporting standardised regression-like pathway coefficients as the most parsimonious summary of the cross-sectional association, while flagging directional ambiguity in the Discussion. The very large coefficient for maladaptive coping, in particular, is best understood as a marker of strong covariance with anxiety symptoms rather than as a unidirectional causal effect; the poor model fit of the unidirectional SEM specification supports this interpretive caution.</w:t>
      </w:r>
    </w:p>
    <w:p>
      <w:pPr>
        <w:spacing w:before="60" w:after="60" w:line="276" w:lineRule="auto"/>
        <w:ind w:firstLine="567"/>
        <w:jc w:val="both"/>
      </w:pPr>
      <w:r>
        <w:rPr>
          <w:rFonts w:ascii="Times New Roman" w:hAnsi="Times New Roman" w:eastAsia="Times New Roman"/>
          <w:sz w:val="24"/>
        </w:rPr>
        <w:t>Implications for routine school-based screening. The pathway findings have direct implications for the design of routine screening protocols in Vietnamese junior secondary schools. A subtype-aware screening battery — one that distinguishes generalised, social, and separation anxiety rather than aggregating them — would enable triage of students into pathway-specific intervention tracks. Students screening positive for separation anxiety, for instance, would benefit from anti-bullying assessment and intervention, while students screening positive for generalised or social anxiety would benefit from academic-pressure management and self-esteem strengthening protocols. Such subtype-aware screening represents a practical translation of the present pathway-level findings into the routine workflow of school-based mental health services.</w:t>
      </w:r>
    </w:p>
    <w:p>
      <w:pPr>
        <w:spacing w:before="60" w:after="60" w:line="276" w:lineRule="auto"/>
        <w:ind w:firstLine="567"/>
        <w:jc w:val="both"/>
      </w:pPr>
      <w:r>
        <w:rPr>
          <w:rFonts w:ascii="Times New Roman" w:hAnsi="Times New Roman" w:eastAsia="Times New Roman"/>
          <w:sz w:val="24"/>
        </w:rPr>
        <w:t>Reflections on subtype-specificity findings. The differential pattern of pathways across the three anxiety subtypes is one of the most theoretically novel contributions of the present study, and its replication in other Asian collectivist contexts will be a high research priority. The pattern is internally consistent: school bullying — a school-located stressor — disproportionately predicts separation anxiety; academic pressure — a school-located cognitive-evaluative stressor — disproportionately predicts generalised and social anxiety; parental support — a family-located protective factor — selectively protects against social anxiety; and self-esteem — an internal cognitive-evaluative resource — parallels academic pressure across cognitive-evaluative subtypes. This convergent pattern strengthens the interpretive credibility of each individual finding.</w:t>
      </w:r>
    </w:p>
    <w:p>
      <w:pPr>
        <w:spacing w:before="60" w:after="60" w:line="276" w:lineRule="auto"/>
        <w:ind w:firstLine="567"/>
        <w:jc w:val="both"/>
      </w:pPr>
      <w:r>
        <w:rPr>
          <w:rFonts w:ascii="Times New Roman" w:hAnsi="Times New Roman" w:eastAsia="Times New Roman"/>
          <w:sz w:val="24"/>
        </w:rPr>
        <w:t>Comparison with East Asian replications. Although direct comparison studies are scarce, the pattern observed here can be tentatively triangulated with published findings from neighbouring Confucian-heritage education systems. Studies from mainland China and Hong Kong have documented similarly large academic-stress–anxiety pathways and similarly high baseline parental closeness, although direct pathway-by-subtype comparisons are not yet available in the published international literature. The present study therefore represents both a Vietnamese-context contribution and a methodological template for future East Asian comparative SEM research on adolescent anxiety pathways. We anticipate that such comparative work will reveal both shared and divergent patterns across Confucian-heritage education systems, with shared features including the strong academic-pressure pathway and divergent features including specific cultural moderators of parental support and self-esteem.</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Specifically,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is associated with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Consistent with the cultural-moderation hypothesis,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In addition,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Notably,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Overall, subtype-specific intervention design follows directly —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60" w:after="60" w:line="276" w:lineRule="auto"/>
        <w:ind w:firstLine="567"/>
        <w:jc w:val="both"/>
      </w:pPr>
      <w:r>
        <w:rPr>
          <w:rFonts w:ascii="Times New Roman" w:hAnsi="Times New Roman" w:eastAsia="Times New Roman"/>
          <w:sz w:val="24"/>
        </w:rPr>
        <w:t>Relation to interventional evidence. The pathway-level findings reported here can be translated into specific intervention design choices in light of recent interventional meta-analyses. The network meta-analysis of Xian et al. (2024) ranks internet-delivered CBT first among nine psychotherapies for adolescent social anxiety, consistent with the strong self-esteem–to–social-anxiety pathway identified here, since self-esteem is a well-established CBT target. The school-based meta-analysis of Cai et al. (2025) documents small but reliable effects of school resilience programmes on internalising symptoms; our finding that maladaptive coping has bidirectional links with anxiety is consistent with the modest magnitude of universal school interventions and suggests that targeted indicated prevention may yield larger effects. Recent Vietnamese pilot work on the Happy House programme provides initial evidence that school-based prevention is feasible in the Vietnamese context, although the absence of multisite randomised controlled trials remains a notable gap.</w:t>
      </w:r>
    </w:p>
    <w:p>
      <w:pPr>
        <w:spacing w:before="60" w:after="60" w:line="276" w:lineRule="auto"/>
        <w:ind w:firstLine="567"/>
        <w:jc w:val="both"/>
      </w:pPr>
      <w:r>
        <w:rPr>
          <w:rFonts w:ascii="Times New Roman" w:hAnsi="Times New Roman" w:eastAsia="Times New Roman"/>
          <w:sz w:val="24"/>
        </w:rPr>
        <w:t>Theoretical contributions. Three theoretical contributions follow. First, the documentation of a bullying-to-separation pathway substantially stronger than bullying-to-generalised or bullying-to-social pathways adds a subtype-specific dimension to the long-standing bullying–anxiety literature that has hitherto treated anxiety as a unitary outcome. Second, the null parental-support pathway for separation anxiety provides empirical support for the ceiling-effect hypothesis in collectivist family systems, and motivates further work on bidirectional and developmental dynamics of parent–adolescent relationships in such contexts. Third, the magnitude premium of self-esteem in Vietnamese adolescents relative to global meta-analytic estimates is consistent with cultural amplification predictions and supports continued cross-cultural moderation research in the developmental psychopathology of adolescent anxiety.</w:t>
      </w:r>
    </w:p>
    <w:p>
      <w:pPr>
        <w:spacing w:before="60" w:after="60" w:line="276" w:lineRule="auto"/>
        <w:ind w:firstLine="567"/>
        <w:jc w:val="both"/>
      </w:pPr>
      <w:r>
        <w:rPr>
          <w:rFonts w:ascii="Times New Roman" w:hAnsi="Times New Roman" w:eastAsia="Times New Roman"/>
          <w:sz w:val="24"/>
        </w:rPr>
        <w:t>Generalisability. The present sample, while large and methodologically sound, is geographically concentrated in northern Vietnam and contains limited representation of ethnic-minority students. Replication in southern Vietnam, in highland and ethnic-minority regions, and in rural samples will be necessary before strong inferential generalisations to the broader Vietnamese adolescent population are warranted. Cross-national replication in other Confucian-heritage societies (e.g., Korea, Taiwan, parts of southern China) would further test the cultural moderation hypothesis by holding the broad collectivist family structure constant while varying specific contextual factors such as examination intensity and digital-platform penetration.</w:t>
      </w:r>
    </w:p>
    <w:p>
      <w:pPr>
        <w:spacing w:before="60" w:after="60" w:line="276" w:lineRule="auto"/>
        <w:ind w:firstLine="567"/>
        <w:jc w:val="both"/>
      </w:pPr>
      <w:r>
        <w:rPr>
          <w:rFonts w:ascii="Times New Roman" w:hAnsi="Times New Roman" w:eastAsia="Times New Roman"/>
          <w:sz w:val="24"/>
        </w:rPr>
        <w:t>Relation to our companion narrative reviews. Two narrative reviews from our group recently synthesised the published Vietnamese and international evidence on risk factors and on intervention research for anxiety disorders in Vietnamese junior secondary students (Authors, 2026a; Authors, 2026b). The present empirical study extends those reviews by providing pathway-level estimates from a large Vietnamese sample, by partitioning effects across anxiety subtypes, and by integrating both risk and protective factors within a single structural equation model. The complementarity of the three contributions — two reviews and one empirical study — is intended to support the development of subtype-aware intervention design in Vietnamese school mental health.</w:t>
      </w:r>
    </w:p>
    <w:p>
      <w:pPr>
        <w:spacing w:before="60" w:after="60" w:line="276" w:lineRule="auto"/>
        <w:ind w:firstLine="567"/>
        <w:jc w:val="both"/>
      </w:pPr>
      <w:r>
        <w:rPr>
          <w:rFonts w:ascii="Times New Roman" w:hAnsi="Times New Roman" w:eastAsia="Times New Roman"/>
          <w:sz w:val="24"/>
        </w:rPr>
        <w:t>Conflict of interest and funding. The authors declare no competing interests. Data collection was conducted as part of doctoral training and received no external commercial funding. The anonymised dataset will be made available to qualified researchers on reasonable request, subject to ethics-committee approval. We thank the participating schools, students, parents, and teachers whose collaboration made this research possible.</w:t>
      </w:r>
    </w:p>
    <w:p>
      <w:pPr>
        <w:spacing w:before="60" w:after="60" w:line="276" w:lineRule="auto"/>
        <w:ind w:firstLine="567"/>
        <w:jc w:val="both"/>
      </w:pPr>
      <w:r>
        <w:rPr>
          <w:rFonts w:ascii="Times New Roman" w:hAnsi="Times New Roman" w:eastAsia="Times New Roman"/>
          <w:sz w:val="24"/>
        </w:rPr>
        <w:t>Subtype-tailored evidence base. Taken together, the pathway findings, the mediation analyses, and the sensitivity checks reported above point consistently to a subtype-tailored evidence base in which different anxiety subtypes have partially overlapping but importantly distinct risk-factor profiles. Translating this evidence base into practice will require coordinated effort across school-based screening, teacher training, family-level intervention, and the ongoing development of culturally validated assessment instruments for Vietnamese adolescents.</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Advance online publication.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Institute of Sociology, University of Queensland, &amp; Johns Hopkins Bloomberg School of Public Health. (2022). Viet Nam adolescent mental health survey: Report on main findings. Institute of Sociology.</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Appendix — Statistical glossary for data analysts</w:t>
      </w:r>
    </w:p>
    <w:p>
      <w:pPr>
        <w:spacing w:before="60" w:after="60" w:line="276" w:lineRule="auto"/>
        <w:ind w:firstLine="283"/>
        <w:jc w:val="both"/>
      </w:pPr>
      <w:r>
        <w:rPr>
          <w:rFonts w:ascii="Times New Roman" w:hAnsi="Times New Roman" w:eastAsia="Times New Roman"/>
          <w:sz w:val="24"/>
        </w:rPr>
        <w:t>This appendix decodes every statistical index reported in the manuscript for communication with the data-analysis team (SPSS/lavaan/Mplus). Each entry covers (a) conceptual meaning, (b) interpretation, (c) reference thresholds, and (d) an example from the present study.</w:t>
      </w:r>
    </w:p>
    <w:p>
      <w:pPr>
        <w:spacing w:before="160" w:after="80" w:line="276" w:lineRule="auto"/>
      </w:pPr>
      <w:r>
        <w:rPr>
          <w:rFonts w:ascii="Times New Roman" w:hAnsi="Times New Roman" w:eastAsia="Times New Roman"/>
          <w:b/>
          <w:i/>
          <w:sz w:val="24"/>
        </w:rPr>
        <w:t>1. Standardized beta (β) in SEM</w:t>
      </w:r>
    </w:p>
    <w:p>
      <w:pPr>
        <w:spacing w:before="60" w:after="60" w:line="276" w:lineRule="auto"/>
        <w:ind w:firstLine="283"/>
        <w:jc w:val="both"/>
      </w:pPr>
      <w:r>
        <w:rPr>
          <w:rFonts w:ascii="Times New Roman" w:hAnsi="Times New Roman" w:eastAsia="Times New Roman"/>
          <w:sz w:val="24"/>
        </w:rPr>
        <w:t>Meaning: Standardized regression coefficient indicating the change in the dependent variable (in standard-deviation units) per one-SD increase in the predictor, controlling for other predictors. β ranges from −1 to +1.</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|β|</w:t>
            </w:r>
          </w:p>
        </w:tc>
        <w:tc>
          <w:tcPr>
            <w:tcW w:type="dxa" w:w="4844"/>
          </w:tcPr>
          <w:p>
            <w:r/>
            <w:r>
              <w:rPr>
                <w:rFonts w:ascii="Times New Roman" w:hAnsi="Times New Roman" w:eastAsia="Times New Roman"/>
                <w:b/>
                <w:sz w:val="22"/>
              </w:rPr>
              <w:t>Interpretation</w:t>
            </w:r>
          </w:p>
        </w:tc>
      </w:tr>
      <w:tr>
        <w:tc>
          <w:tcPr>
            <w:tcW w:type="dxa" w:w="4844"/>
          </w:tcPr>
          <w:p>
            <w:r/>
            <w:r>
              <w:rPr>
                <w:rFonts w:ascii="Times New Roman" w:hAnsi="Times New Roman" w:eastAsia="Times New Roman"/>
                <w:sz w:val="22"/>
              </w:rPr>
              <w:t>&lt; 0.10</w:t>
            </w:r>
          </w:p>
        </w:tc>
        <w:tc>
          <w:tcPr>
            <w:tcW w:type="dxa" w:w="4844"/>
          </w:tcPr>
          <w:p>
            <w:r/>
            <w:r>
              <w:rPr>
                <w:rFonts w:ascii="Times New Roman" w:hAnsi="Times New Roman" w:eastAsia="Times New Roman"/>
                <w:sz w:val="22"/>
              </w:rPr>
              <w:t>Negligible</w:t>
            </w:r>
          </w:p>
        </w:tc>
      </w:tr>
      <w:tr>
        <w:tc>
          <w:tcPr>
            <w:tcW w:type="dxa" w:w="4844"/>
          </w:tcPr>
          <w:p>
            <w:r/>
            <w:r>
              <w:rPr>
                <w:rFonts w:ascii="Times New Roman" w:hAnsi="Times New Roman" w:eastAsia="Times New Roman"/>
                <w:sz w:val="22"/>
              </w:rPr>
              <w:t>0.10 – 0.29</w:t>
            </w:r>
          </w:p>
        </w:tc>
        <w:tc>
          <w:tcPr>
            <w:tcW w:type="dxa" w:w="4844"/>
          </w:tcPr>
          <w:p>
            <w:r/>
            <w:r>
              <w:rPr>
                <w:rFonts w:ascii="Times New Roman" w:hAnsi="Times New Roman" w:eastAsia="Times New Roman"/>
                <w:sz w:val="22"/>
              </w:rPr>
              <w:t>Small</w:t>
            </w:r>
          </w:p>
        </w:tc>
      </w:tr>
      <w:tr>
        <w:tc>
          <w:tcPr>
            <w:tcW w:type="dxa" w:w="4844"/>
          </w:tcPr>
          <w:p>
            <w:r/>
            <w:r>
              <w:rPr>
                <w:rFonts w:ascii="Times New Roman" w:hAnsi="Times New Roman" w:eastAsia="Times New Roman"/>
                <w:sz w:val="22"/>
              </w:rPr>
              <w:t>0.30 – 0.49</w:t>
            </w:r>
          </w:p>
        </w:tc>
        <w:tc>
          <w:tcPr>
            <w:tcW w:type="dxa" w:w="4844"/>
          </w:tcPr>
          <w:p>
            <w:r/>
            <w:r>
              <w:rPr>
                <w:rFonts w:ascii="Times New Roman" w:hAnsi="Times New Roman" w:eastAsia="Times New Roman"/>
                <w:sz w:val="22"/>
              </w:rPr>
              <w:t>Medium</w:t>
            </w:r>
          </w:p>
        </w:tc>
      </w:tr>
      <w:tr>
        <w:tc>
          <w:tcPr>
            <w:tcW w:type="dxa" w:w="4844"/>
          </w:tcPr>
          <w:p>
            <w:r/>
            <w:r>
              <w:rPr>
                <w:rFonts w:ascii="Times New Roman" w:hAnsi="Times New Roman" w:eastAsia="Times New Roman"/>
                <w:sz w:val="22"/>
              </w:rPr>
              <w:t>≥ 0.50</w:t>
            </w:r>
          </w:p>
        </w:tc>
        <w:tc>
          <w:tcPr>
            <w:tcW w:type="dxa" w:w="4844"/>
          </w:tcPr>
          <w:p>
            <w:r/>
            <w:r>
              <w:rPr>
                <w:rFonts w:ascii="Times New Roman" w:hAnsi="Times New Roman" w:eastAsia="Times New Roman"/>
                <w:sz w:val="22"/>
              </w:rPr>
              <w:t>Large</w:t>
            </w:r>
          </w:p>
        </w:tc>
      </w:tr>
    </w:tbl>
    <w:p>
      <w:pPr>
        <w:spacing w:before="60" w:after="60" w:line="276" w:lineRule="auto"/>
        <w:ind w:firstLine="283"/>
        <w:jc w:val="both"/>
      </w:pPr>
      <w:r>
        <w:rPr>
          <w:rFonts w:ascii="Times New Roman" w:hAnsi="Times New Roman" w:eastAsia="Times New Roman"/>
          <w:sz w:val="24"/>
        </w:rPr>
        <w:t>Examples (sorted by magnitude): β BPĐP → GAD = 0.749 (very large positive, but poor fit — see §4); β academic pressure → GAD = 0.510 (large positive); β self-esteem → GAD = −0.455 (large negative — protective); β school bullying → separation anxiety = 0.376 (medium positive, strongest in bullying model); β parental support → separation anxiety = 0.000 (null direct effect, p = 0.997).</w:t>
      </w:r>
    </w:p>
    <w:p>
      <w:pPr>
        <w:spacing w:before="160" w:after="80" w:line="276" w:lineRule="auto"/>
      </w:pPr>
      <w:r>
        <w:rPr>
          <w:rFonts w:ascii="Times New Roman" w:hAnsi="Times New Roman" w:eastAsia="Times New Roman"/>
          <w:b/>
          <w:i/>
          <w:sz w:val="24"/>
        </w:rPr>
        <w:t>2. Coefficient of determination R²</w:t>
      </w:r>
    </w:p>
    <w:p>
      <w:pPr>
        <w:spacing w:before="60" w:after="60" w:line="276" w:lineRule="auto"/>
        <w:ind w:firstLine="283"/>
        <w:jc w:val="both"/>
      </w:pPr>
      <w:r>
        <w:rPr>
          <w:rFonts w:ascii="Times New Roman" w:hAnsi="Times New Roman" w:eastAsia="Times New Roman"/>
          <w:sz w:val="24"/>
        </w:rPr>
        <w:t>Meaning: Proportion of variance in the dependent variable explained by the predictor(s). Cohen (1988): R² ≥ 0.26 = large effect. Examples: integrated risk + protective model R² = 0.598 (very large); academic pressure alone R² = 0.284 (large); self-esteem alone R² = 0.209 (medium); bullying alone R² = 0.076 (small).</w:t>
      </w:r>
    </w:p>
    <w:p>
      <w:pPr>
        <w:spacing w:before="160" w:after="80" w:line="276" w:lineRule="auto"/>
      </w:pPr>
      <w:r>
        <w:rPr>
          <w:rFonts w:ascii="Times New Roman" w:hAnsi="Times New Roman" w:eastAsia="Times New Roman"/>
          <w:b/>
          <w:i/>
          <w:sz w:val="24"/>
        </w:rPr>
        <w:t>3. Cohen d (between-group effect size)</w:t>
      </w:r>
    </w:p>
    <w:p>
      <w:pPr>
        <w:spacing w:before="60" w:after="60" w:line="276" w:lineRule="auto"/>
        <w:ind w:firstLine="283"/>
        <w:jc w:val="both"/>
      </w:pPr>
      <w:r>
        <w:rPr>
          <w:rFonts w:ascii="Times New Roman" w:hAnsi="Times New Roman" w:eastAsia="Times New Roman"/>
          <w:sz w:val="24"/>
        </w:rPr>
        <w:t>Meaning: Mean-difference between two groups in pooled SD units. Cohen (1988): 0.2 small, 0.5 medium, 0.8 large. Three-tier gender pattern in the present study: GAD d = 0.365 (small significant), social anxiety d = 0.370 (small significant), separation anxiety d ≈ 0.03 (negligible, non-significant). Consistent with Salk et al. (2017) global pattern.</w:t>
      </w:r>
    </w:p>
    <w:p>
      <w:pPr>
        <w:spacing w:before="160" w:after="80" w:line="276" w:lineRule="auto"/>
      </w:pPr>
      <w:r>
        <w:rPr>
          <w:rFonts w:ascii="Times New Roman" w:hAnsi="Times New Roman" w:eastAsia="Times New Roman"/>
          <w:b/>
          <w:i/>
          <w:sz w:val="24"/>
        </w:rPr>
        <w:t>4. SEM fit indices (Hu and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Index</w:t>
            </w:r>
          </w:p>
        </w:tc>
        <w:tc>
          <w:tcPr>
            <w:tcW w:type="dxa" w:w="2422"/>
          </w:tcPr>
          <w:p>
            <w:r/>
            <w:r>
              <w:rPr>
                <w:rFonts w:ascii="Times New Roman" w:hAnsi="Times New Roman" w:eastAsia="Times New Roman"/>
                <w:b/>
                <w:sz w:val="22"/>
              </w:rPr>
              <w:t>Good fit</w:t>
            </w:r>
          </w:p>
        </w:tc>
        <w:tc>
          <w:tcPr>
            <w:tcW w:type="dxa" w:w="2422"/>
          </w:tcPr>
          <w:p>
            <w:r/>
            <w:r>
              <w:rPr>
                <w:rFonts w:ascii="Times New Roman" w:hAnsi="Times New Roman" w:eastAsia="Times New Roman"/>
                <w:b/>
                <w:sz w:val="22"/>
              </w:rPr>
              <w:t>Acceptable</w:t>
            </w:r>
          </w:p>
        </w:tc>
        <w:tc>
          <w:tcPr>
            <w:tcW w:type="dxa" w:w="2422"/>
          </w:tcPr>
          <w:p>
            <w:r/>
            <w:r>
              <w:rPr>
                <w:rFonts w:ascii="Times New Roman" w:hAnsi="Times New Roman" w:eastAsia="Times New Roman"/>
                <w:b/>
                <w:sz w:val="22"/>
              </w:rPr>
              <w:t>Poor fit interpretation</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very poor</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reassess</w:t>
            </w:r>
          </w:p>
        </w:tc>
      </w:tr>
    </w:tbl>
    <w:p>
      <w:pPr>
        <w:spacing w:before="60" w:after="60" w:line="276" w:lineRule="auto"/>
        <w:ind w:firstLine="283"/>
        <w:jc w:val="both"/>
      </w:pPr>
      <w:r>
        <w:rPr>
          <w:rFonts w:ascii="Times New Roman" w:hAnsi="Times New Roman" w:eastAsia="Times New Roman"/>
          <w:sz w:val="24"/>
        </w:rPr>
        <w:t>Example: Bullying → anxiety (two-factor) showed excellent fit (RMSEA = 0.030; CFI = 0.999); the three-factor disaggregated model showed marginal fit (RMSEA = 0.129). The maladaptive coping → anxiety models showed poor fit (RMSEA 0.080–0.204; CFI 0.865–0.911) across all configurations — therefore the β = 0.749 coefficient is interpreted as exploratory and most plausibly reflects bidirectional escalation rather than unidirectional causation.</w:t>
      </w:r>
    </w:p>
    <w:p>
      <w:pPr>
        <w:spacing w:before="160" w:after="80" w:line="276" w:lineRule="auto"/>
      </w:pPr>
      <w:r>
        <w:rPr>
          <w:rFonts w:ascii="Times New Roman" w:hAnsi="Times New Roman" w:eastAsia="Times New Roman"/>
          <w:b/>
          <w:i/>
          <w:sz w:val="24"/>
        </w:rPr>
        <w:t>5. Magnitude ratio |β| (cross-factor comparison)</w:t>
      </w:r>
    </w:p>
    <w:p>
      <w:pPr>
        <w:spacing w:before="60" w:after="60" w:line="276" w:lineRule="auto"/>
        <w:ind w:firstLine="283"/>
        <w:jc w:val="both"/>
      </w:pPr>
      <w:r>
        <w:rPr>
          <w:rFonts w:ascii="Times New Roman" w:hAnsi="Times New Roman" w:eastAsia="Times New Roman"/>
          <w:sz w:val="24"/>
        </w:rPr>
        <w:t>Computed as |β factor A| / |β factor B| to compare the strength of two predictors of the same outcome. In the present study, |β self-esteem| / |β academic pressure| yields 0.892 for GAD, 0.847 for social anxiety, and 0.344 for separation anxiety, indicating that self-esteem rivals academic pressure in the two cognitive-evaluative subtypes but not in the attachment-based subtype.</w:t>
      </w:r>
    </w:p>
    <w:p>
      <w:pPr>
        <w:spacing w:before="160" w:after="80" w:line="276" w:lineRule="auto"/>
      </w:pPr>
      <w:r>
        <w:rPr>
          <w:rFonts w:ascii="Times New Roman" w:hAnsi="Times New Roman" w:eastAsia="Times New Roman"/>
          <w:b/>
          <w:i/>
          <w:sz w:val="24"/>
        </w:rPr>
        <w:t>6. Requirements for the data-analysis team</w:t>
      </w:r>
    </w:p>
    <w:p>
      <w:pPr>
        <w:spacing w:before="60" w:after="60" w:line="276" w:lineRule="auto"/>
        <w:ind w:firstLine="170"/>
      </w:pPr>
      <w:r>
        <w:rPr>
          <w:rFonts w:ascii="Times New Roman" w:hAnsi="Times New Roman" w:eastAsia="Times New Roman"/>
          <w:sz w:val="24"/>
        </w:rPr>
        <w:t>• For each SEM: χ² (df), CFI, TLI, RMSEA (with 90% CI), SRMR.</w:t>
      </w:r>
    </w:p>
    <w:p>
      <w:pPr>
        <w:spacing w:before="60" w:after="60" w:line="276" w:lineRule="auto"/>
        <w:ind w:firstLine="170"/>
      </w:pPr>
      <w:r>
        <w:rPr>
          <w:rFonts w:ascii="Times New Roman" w:hAnsi="Times New Roman" w:eastAsia="Times New Roman"/>
          <w:sz w:val="24"/>
        </w:rPr>
        <w:t>• For each pathway: standardized β, SE, 95% bootstrap CI (5,000 resamples), p-value.</w:t>
      </w:r>
    </w:p>
    <w:p>
      <w:pPr>
        <w:spacing w:before="60" w:after="60" w:line="276" w:lineRule="auto"/>
        <w:ind w:firstLine="170"/>
      </w:pPr>
      <w:r>
        <w:rPr>
          <w:rFonts w:ascii="Times New Roman" w:hAnsi="Times New Roman" w:eastAsia="Times New Roman"/>
          <w:sz w:val="24"/>
        </w:rPr>
        <w:t>• For mediation: a, b, c, c′ coefficients and indirect = a × b with 95% bootstrap CI.</w:t>
      </w:r>
    </w:p>
    <w:p>
      <w:pPr>
        <w:spacing w:before="60" w:after="60" w:line="276" w:lineRule="auto"/>
        <w:ind w:firstLine="170"/>
      </w:pPr>
      <w:r>
        <w:rPr>
          <w:rFonts w:ascii="Times New Roman" w:hAnsi="Times New Roman" w:eastAsia="Times New Roman"/>
          <w:sz w:val="24"/>
        </w:rPr>
        <w:t>• For multi-group invariance: configural, metric, scalar — Δχ², ΔCFI, ΔRMSEA.</w:t>
      </w:r>
    </w:p>
    <w:p>
      <w:pPr>
        <w:spacing w:before="60" w:after="60" w:line="276" w:lineRule="auto"/>
        <w:ind w:firstLine="170"/>
      </w:pPr>
      <w:r>
        <w:rPr>
          <w:rFonts w:ascii="Times New Roman" w:hAnsi="Times New Roman" w:eastAsia="Times New Roman"/>
          <w:sz w:val="24"/>
        </w:rPr>
        <w:t>• For gender analyses: F, p, Cohen d for each anxiety subtype.</w:t>
      </w:r>
    </w:p>
    <w:p>
      <w:pPr>
        <w:spacing w:before="60" w:after="60" w:line="276" w:lineRule="auto"/>
        <w:ind w:firstLine="170"/>
      </w:pPr>
      <w:r>
        <w:rPr>
          <w:rFonts w:ascii="Times New Roman" w:hAnsi="Times New Roman" w:eastAsia="Times New Roman"/>
          <w:sz w:val="24"/>
        </w:rPr>
        <w:t>• For common-method variance: Harman's single-factor test (% variance of first factor).</w:t>
      </w:r>
    </w:p>
    <w:p>
      <w:pPr>
        <w:spacing w:before="60" w:after="60" w:line="276" w:lineRule="auto"/>
        <w:ind w:firstLine="170"/>
      </w:pPr>
      <w:r>
        <w:rPr>
          <w:rFonts w:ascii="Times New Roman" w:hAnsi="Times New Roman" w:eastAsia="Times New Roman"/>
          <w:sz w:val="24"/>
        </w:rPr>
        <w:t>• Where fit is poor (RMSEA &gt; 0.08 or CFI &lt; 0.90), report alternative-model comparison.</w:t>
      </w:r>
    </w:p>
    <w:p>
      <w:pPr>
        <w:spacing w:before="60" w:after="60" w:line="276" w:lineRule="auto"/>
        <w:ind w:firstLine="170"/>
      </w:pPr>
      <w:r>
        <w:rPr>
          <w:rFonts w:ascii="Times New Roman" w:hAnsi="Times New Roman" w:eastAsia="Times New Roman"/>
          <w:sz w:val="24"/>
        </w:rPr>
        <w:t>• Use period for decimal separators in the English manuscript; commas for the Vietnamese manuscript.</w:t>
      </w:r>
    </w:p>
    <w:p>
      <w:pPr>
        <w:spacing w:before="280" w:after="120" w:line="276" w:lineRule="auto"/>
      </w:pPr>
      <w:r>
        <w:rPr>
          <w:rFonts w:ascii="Times New Roman" w:hAnsi="Times New Roman" w:eastAsia="Times New Roman"/>
          <w:b/>
          <w:sz w:val="26"/>
        </w:rPr>
        <w:t>Supplementary appendix — Twelve target journals (Q2 to Q3)</w:t>
      </w:r>
    </w:p>
    <w:p>
      <w:pPr>
        <w:spacing w:before="60" w:after="60" w:line="276" w:lineRule="auto"/>
        <w:ind w:firstLine="283"/>
        <w:jc w:val="both"/>
      </w:pPr>
      <w:r>
        <w:rPr>
          <w:rFonts w:ascii="Times New Roman" w:hAnsi="Times New Roman" w:eastAsia="Times New Roman"/>
          <w:sz w:val="24"/>
        </w:rPr>
        <w:t>The table below lists twelve international journals appropriate for this Q2.5 manuscript, ordered by submission priority. Each row reports the 2024 Impact Factor, quartile, open-access fee (APC), estimated turnaround, scope-fit rating (1–5 stars), and a brief strategic note.</w:t>
      </w:r>
    </w:p>
    <w:p>
      <w:pPr>
        <w:spacing w:before="160" w:after="80" w:line="276" w:lineRule="auto"/>
      </w:pPr>
      <w:r>
        <w:rPr>
          <w:rFonts w:ascii="Times New Roman" w:hAnsi="Times New Roman" w:eastAsia="Times New Roman"/>
          <w:b/>
          <w:i/>
          <w:sz w:val="24"/>
        </w:rPr>
        <w:t>Table — Twelve target journals</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Journal</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Notes</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t>3.10</w:t>
            </w:r>
            <w:r>
              <w:rPr>
                <w:rFonts w:ascii="Times New Roman" w:hAnsi="Times New Roman" w:eastAsia="Times New Roman"/>
                <w:sz w:val="20"/>
              </w:rPr>
            </w:r>
          </w:p>
        </w:tc>
        <w:tc>
          <w:tcPr>
            <w:tcW w:type="dxa" w:w="1211"/>
          </w:tcPr>
          <w:p>
            <w:r/>
            <w:r>
              <w:rPr>
                <w:rFonts w:ascii="Times New Roman" w:hAnsi="Times New Roman" w:eastAsia="Times New Roman"/>
                <w:sz w:val="20"/>
              </w:rPr>
              <w:t>Q1 SJR / Q2 WoS</w:t>
            </w:r>
          </w:p>
        </w:tc>
        <w:tc>
          <w:tcPr>
            <w:tcW w:type="dxa" w:w="1211"/>
          </w:tcPr>
          <w:p>
            <w:r>
              <w:t>~3,150 CHF (LMIC waiver)</w:t>
            </w:r>
            <w:r>
              <w:rPr>
                <w:rFonts w:ascii="Times New Roman" w:hAnsi="Times New Roman" w:eastAsia="Times New Roman"/>
                <w:sz w:val="20"/>
              </w:rPr>
            </w:r>
          </w:p>
        </w:tc>
        <w:tc>
          <w:tcPr>
            <w:tcW w:type="dxa" w:w="1211"/>
          </w:tcPr>
          <w:p>
            <w:r>
              <w:t>~77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Top submission priority — speed and prestige</w:t>
            </w:r>
            <w:r>
              <w:rPr>
                <w:rFonts w:ascii="Times New Roman" w:hAnsi="Times New Roman" w:eastAsia="Times New Roman"/>
                <w:sz w:val="20"/>
              </w:rPr>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t>2.77</w:t>
            </w:r>
            <w:r>
              <w:rPr>
                <w:rFonts w:ascii="Times New Roman" w:hAnsi="Times New Roman" w:eastAsia="Times New Roman"/>
                <w:sz w:val="20"/>
              </w:rPr>
            </w:r>
          </w:p>
        </w:tc>
        <w:tc>
          <w:tcPr>
            <w:tcW w:type="dxa" w:w="1211"/>
          </w:tcPr>
          <w:p>
            <w:r/>
            <w:r>
              <w:rPr>
                <w:rFonts w:ascii="Times New Roman" w:hAnsi="Times New Roman" w:eastAsia="Times New Roman"/>
                <w:sz w:val="20"/>
              </w:rPr>
              <w:t>Q1 SJR</w:t>
            </w:r>
          </w:p>
        </w:tc>
        <w:tc>
          <w:tcPr>
            <w:tcW w:type="dxa" w:w="1211"/>
          </w:tcPr>
          <w:p>
            <w:r>
              <w:t>Editor's discretion (LMIC waiver)</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Strongest cultural fit — suited to the Asian region</w:t>
            </w:r>
            <w:r>
              <w:rPr>
                <w:rFonts w:ascii="Times New Roman" w:hAnsi="Times New Roman" w:eastAsia="Times New Roman"/>
                <w:sz w:val="20"/>
              </w:rPr>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t>2.20</w:t>
            </w:r>
            <w:r>
              <w:rPr>
                <w:rFonts w:ascii="Times New Roman" w:hAnsi="Times New Roman" w:eastAsia="Times New Roman"/>
                <w:sz w:val="20"/>
              </w:rPr>
            </w:r>
          </w:p>
        </w:tc>
        <w:tc>
          <w:tcPr>
            <w:tcW w:type="dxa" w:w="1211"/>
          </w:tcPr>
          <w:p>
            <w:r/>
            <w:r>
              <w:rPr>
                <w:rFonts w:ascii="Times New Roman" w:hAnsi="Times New Roman" w:eastAsia="Times New Roman"/>
                <w:sz w:val="20"/>
              </w:rPr>
              <w:t>Q2 SJR</w:t>
            </w:r>
          </w:p>
        </w:tc>
        <w:tc>
          <w:tcPr>
            <w:tcW w:type="dxa" w:w="1211"/>
          </w:tcPr>
          <w:p>
            <w:r>
              <w:t>~$2–3k</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Springer + PubMed indexed; accepts SEM studies</w:t>
            </w:r>
            <w:r>
              <w:rPr>
                <w:rFonts w:ascii="Times New Roman" w:hAnsi="Times New Roman" w:eastAsia="Times New Roman"/>
                <w:sz w:val="20"/>
              </w:rPr>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t>3.40</w:t>
            </w:r>
            <w:r>
              <w:rPr>
                <w:rFonts w:ascii="Times New Roman" w:hAnsi="Times New Roman" w:eastAsia="Times New Roman"/>
                <w:sz w:val="20"/>
              </w:rPr>
            </w:r>
          </w:p>
        </w:tc>
        <w:tc>
          <w:tcPr>
            <w:tcW w:type="dxa" w:w="1211"/>
          </w:tcPr>
          <w:p>
            <w:r/>
            <w:r>
              <w:rPr>
                <w:rFonts w:ascii="Times New Roman" w:hAnsi="Times New Roman" w:eastAsia="Times New Roman"/>
                <w:sz w:val="20"/>
              </w:rPr>
              <w:t>Q1 SJR</w:t>
            </w:r>
          </w:p>
        </w:tc>
        <w:tc>
          <w:tcPr>
            <w:tcW w:type="dxa" w:w="1211"/>
          </w:tcPr>
          <w:p>
            <w:r>
              <w:t>€1,390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Cheapest OA among the Q1–Q2 options; PMC indexed</w:t>
            </w:r>
            <w:r>
              <w:rPr>
                <w:rFonts w:ascii="Times New Roman" w:hAnsi="Times New Roman" w:eastAsia="Times New Roman"/>
                <w:sz w:val="20"/>
              </w:rPr>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t>2.14</w:t>
            </w:r>
            <w:r>
              <w:rPr>
                <w:rFonts w:ascii="Times New Roman" w:hAnsi="Times New Roman" w:eastAsia="Times New Roman"/>
                <w:sz w:val="20"/>
              </w:rPr>
            </w:r>
          </w:p>
        </w:tc>
        <w:tc>
          <w:tcPr>
            <w:tcW w:type="dxa" w:w="1211"/>
          </w:tcPr>
          <w:p>
            <w:r/>
            <w:r>
              <w:rPr>
                <w:rFonts w:ascii="Times New Roman" w:hAnsi="Times New Roman" w:eastAsia="Times New Roman"/>
                <w:sz w:val="20"/>
              </w:rPr>
              <w:t>Q1 (policy lane)</w:t>
            </w:r>
          </w:p>
        </w:tc>
        <w:tc>
          <w:tcPr>
            <w:tcW w:type="dxa" w:w="1211"/>
          </w:tcPr>
          <w:p>
            <w:r>
              <w:t>Subscription (free for authors)</w:t>
            </w:r>
            <w:r>
              <w:rPr>
                <w:rFonts w:ascii="Times New Roman" w:hAnsi="Times New Roman" w:eastAsia="Times New Roman"/>
                <w:sz w:val="20"/>
              </w:rPr>
            </w:r>
          </w:p>
        </w:tc>
        <w:tc>
          <w:tcPr>
            <w:tcW w:type="dxa" w:w="1211"/>
          </w:tcPr>
          <w:p>
            <w:r>
              <w:t>~8.7 weeks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Good fit for policy implications and school services</w:t>
            </w:r>
            <w:r>
              <w:rPr>
                <w:rFonts w:ascii="Times New Roman" w:hAnsi="Times New Roman" w:eastAsia="Times New Roman"/>
                <w:sz w:val="20"/>
              </w:rPr>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t>3.27</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~$2,500</w:t>
            </w:r>
            <w:r>
              <w:rPr>
                <w:rFonts w:ascii="Times New Roman" w:hAnsi="Times New Roman" w:eastAsia="Times New Roman"/>
                <w:sz w:val="20"/>
              </w:rPr>
            </w:r>
          </w:p>
        </w:tc>
        <w:tc>
          <w:tcPr>
            <w:tcW w:type="dxa" w:w="1211"/>
          </w:tcPr>
          <w:p>
            <w:r>
              <w:t>~77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Suitable when emphasising developmental psychology</w:t>
            </w:r>
            <w:r>
              <w:rPr>
                <w:rFonts w:ascii="Times New Roman" w:hAnsi="Times New Roman" w:eastAsia="Times New Roman"/>
                <w:sz w:val="20"/>
              </w:rPr>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t>~2.5</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Hybrid (optional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Taylor &amp; Francis hybrid model — review the policy carefully before submitting</w:t>
            </w:r>
            <w:r>
              <w:rPr>
                <w:rFonts w:ascii="Times New Roman" w:hAnsi="Times New Roman" w:eastAsia="Times New Roman"/>
                <w:sz w:val="20"/>
              </w:rPr>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t>2.04</w:t>
            </w:r>
            <w:r>
              <w:rPr>
                <w:rFonts w:ascii="Times New Roman" w:hAnsi="Times New Roman" w:eastAsia="Times New Roman"/>
                <w:sz w:val="20"/>
              </w:rPr>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Emphasises school-based implications</w:t>
            </w:r>
            <w:r>
              <w:rPr>
                <w:rFonts w:ascii="Times New Roman" w:hAnsi="Times New Roman" w:eastAsia="Times New Roman"/>
                <w:sz w:val="20"/>
              </w:rPr>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t>~3.0</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Exact niche for school-based mental health</w:t>
            </w:r>
            <w:r>
              <w:rPr>
                <w:rFonts w:ascii="Times New Roman" w:hAnsi="Times New Roman" w:eastAsia="Times New Roman"/>
                <w:sz w:val="20"/>
              </w:rPr>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t>2.60</w:t>
            </w:r>
            <w:r>
              <w:rPr>
                <w:rFonts w:ascii="Times New Roman" w:hAnsi="Times New Roman" w:eastAsia="Times New Roman"/>
                <w:sz w:val="20"/>
              </w:rPr>
            </w:r>
          </w:p>
        </w:tc>
        <w:tc>
          <w:tcPr>
            <w:tcW w:type="dxa" w:w="1211"/>
          </w:tcPr>
          <w:p>
            <w:r/>
            <w:r>
              <w:rPr>
                <w:rFonts w:ascii="Times New Roman" w:hAnsi="Times New Roman" w:eastAsia="Times New Roman"/>
                <w:sz w:val="20"/>
              </w:rPr>
              <w:t>Q2 WoS / Q1 PubMed</w:t>
            </w:r>
          </w:p>
        </w:tc>
        <w:tc>
          <w:tcPr>
            <w:tcW w:type="dxa" w:w="1211"/>
          </w:tcPr>
          <w:p>
            <w:r>
              <w:t>$1,695 (OA)</w:t>
            </w:r>
            <w:r>
              <w:rPr>
                <w:rFonts w:ascii="Times New Roman" w:hAnsi="Times New Roman" w:eastAsia="Times New Roman"/>
                <w:sz w:val="20"/>
              </w:rPr>
            </w:r>
          </w:p>
        </w:tc>
        <w:tc>
          <w:tcPr>
            <w:tcW w:type="dxa" w:w="1211"/>
          </w:tcPr>
          <w:p>
            <w:r>
              <w:t>~185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High acceptance rate ~50%; broad scope</w:t>
            </w:r>
            <w:r>
              <w:rPr>
                <w:rFonts w:ascii="Times New Roman" w:hAnsi="Times New Roman" w:eastAsia="Times New Roman"/>
                <w:sz w:val="20"/>
              </w:rPr>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t>~3.5</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$2,500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LMIC focus — Vietnamese authors welcome</w:t>
            </w:r>
            <w:r>
              <w:rPr>
                <w:rFonts w:ascii="Times New Roman" w:hAnsi="Times New Roman" w:eastAsia="Times New Roman"/>
                <w:sz w:val="20"/>
              </w:rPr>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t>~1.3</w:t>
            </w:r>
            <w:r>
              <w:rPr>
                <w:rFonts w:ascii="Times New Roman" w:hAnsi="Times New Roman" w:eastAsia="Times New Roman"/>
                <w:sz w:val="20"/>
              </w:rPr>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Backup option if the cascade is rejected from higher tiers</w:t>
            </w:r>
            <w:r>
              <w:rPr>
                <w:rFonts w:ascii="Times New Roman" w:hAnsi="Times New Roman" w:eastAsia="Times New Roman"/>
                <w:sz w:val="20"/>
              </w:rPr>
            </w:r>
          </w:p>
        </w:tc>
      </w:tr>
    </w:tbl>
    <w:p>
      <w:pPr>
        <w:spacing w:before="160" w:after="80" w:line="276" w:lineRule="auto"/>
      </w:pPr>
      <w:r>
        <w:rPr>
          <w:rFonts w:ascii="Times New Roman" w:hAnsi="Times New Roman" w:eastAsia="Times New Roman"/>
          <w:b/>
          <w:i/>
          <w:sz w:val="24"/>
        </w:rPr>
        <w:t>Submission cascade strategy</w:t>
      </w:r>
    </w:p>
    <w:p>
      <w:pPr>
        <w:spacing w:before="60" w:after="60" w:line="276" w:lineRule="auto"/>
        <w:ind w:firstLine="170"/>
        <w:jc w:val="both"/>
      </w:pPr>
      <w:r>
        <w:rPr>
          <w:rFonts w:ascii="Times New Roman" w:hAnsi="Times New Roman" w:eastAsia="Times New Roman"/>
          <w:sz w:val="24"/>
        </w:rPr>
        <w:t>• Tier 1 — prestige + speed (weeks 0–12). Submit to Frontiers in Psychiatry first; decision in ~77 days. If rejected, submit to Asian Journal of Psychiatry (best cultural fit).</w:t>
      </w:r>
    </w:p>
    <w:p>
      <w:pPr>
        <w:spacing w:before="60" w:after="60" w:line="276" w:lineRule="auto"/>
        <w:ind w:firstLine="170"/>
        <w:jc w:val="both"/>
      </w:pPr>
      <w:r>
        <w:rPr>
          <w:rFonts w:ascii="Times New Roman" w:hAnsi="Times New Roman" w:eastAsia="Times New Roman"/>
          <w:sz w:val="24"/>
        </w:rPr>
        <w:t>• Tier 2 — Springer/Wiley backup (weeks 12–24). If Tier 1 rejects, submit to Child Psychiatry &amp; Human Development or School Mental Health (both Springer ecosystem).</w:t>
      </w:r>
    </w:p>
    <w:p>
      <w:pPr>
        <w:spacing w:before="60" w:after="60" w:line="276" w:lineRule="auto"/>
        <w:ind w:firstLine="170"/>
        <w:jc w:val="both"/>
      </w:pPr>
      <w:r>
        <w:rPr>
          <w:rFonts w:ascii="Times New Roman" w:hAnsi="Times New Roman" w:eastAsia="Times New Roman"/>
          <w:sz w:val="24"/>
        </w:rPr>
        <w:t>• Tier 3 — open-access broad (weeks 24–36). If Tier 2 rejects, BMC Psychology (€1,390 — cheapest) or Frontiers in Psychology. Cambridge Prisms: Global Mental Health is particularly suitable due to its LMIC focus.</w:t>
      </w:r>
    </w:p>
    <w:p>
      <w:pPr>
        <w:spacing w:before="60" w:after="60" w:line="276" w:lineRule="auto"/>
        <w:ind w:firstLine="170"/>
        <w:jc w:val="both"/>
      </w:pPr>
      <w:r>
        <w:rPr>
          <w:rFonts w:ascii="Times New Roman" w:hAnsi="Times New Roman" w:eastAsia="Times New Roman"/>
          <w:sz w:val="24"/>
        </w:rPr>
        <w:t>• Tier 4 — policy/services or Q3 (weeks 36+). If still rejected, Children and Youth Services Review (policy lane), Journal of School Health (school-based emphasis), or Vulnerable Children and Youth Studies (safe Q3 fallback).</w:t>
      </w:r>
    </w:p>
    <w:p>
      <w:pPr>
        <w:spacing w:before="160" w:after="80" w:line="276" w:lineRule="auto"/>
      </w:pPr>
      <w:r>
        <w:rPr>
          <w:rFonts w:ascii="Times New Roman" w:hAnsi="Times New Roman" w:eastAsia="Times New Roman"/>
          <w:b/>
          <w:i/>
          <w:sz w:val="24"/>
        </w:rPr>
        <w:t>Warnings to avoid</w:t>
      </w:r>
    </w:p>
    <w:p>
      <w:pPr>
        <w:spacing w:before="60" w:after="60" w:line="276" w:lineRule="auto"/>
        <w:ind w:firstLine="170"/>
        <w:jc w:val="both"/>
      </w:pPr>
      <w:r>
        <w:rPr>
          <w:rFonts w:ascii="Times New Roman" w:hAnsi="Times New Roman" w:eastAsia="Times New Roman"/>
          <w:sz w:val="24"/>
        </w:rPr>
        <w:t>• Avoid MDPI International Journal of Environmental Research and Public Health (IJERPH) — Clarivate de-indexed this journal from Web of Science in 2024 due to citation-inflation concerns.</w:t>
      </w:r>
    </w:p>
    <w:p>
      <w:pPr>
        <w:spacing w:before="60" w:after="60" w:line="276" w:lineRule="auto"/>
        <w:ind w:firstLine="170"/>
        <w:jc w:val="both"/>
      </w:pPr>
      <w:r>
        <w:rPr>
          <w:rFonts w:ascii="Times New Roman" w:hAnsi="Times New Roman" w:eastAsia="Times New Roman"/>
          <w:sz w:val="24"/>
        </w:rPr>
        <w:t>• Use caution with hybrid (subscription + OA) journals — read APC policies carefully.</w:t>
      </w:r>
    </w:p>
    <w:p>
      <w:pPr>
        <w:spacing w:before="60" w:after="60" w:line="276" w:lineRule="auto"/>
        <w:ind w:firstLine="170"/>
        <w:jc w:val="both"/>
      </w:pPr>
      <w:r>
        <w:rPr>
          <w:rFonts w:ascii="Times New Roman" w:hAnsi="Times New Roman" w:eastAsia="Times New Roman"/>
          <w:sz w:val="24"/>
        </w:rPr>
        <w:t>• Avoid journals with acceptance rates below 10% unless the manuscript has been professionally English-edited.</w:t>
      </w:r>
    </w:p>
    <w:p>
      <w:pPr>
        <w:spacing w:before="160" w:after="80" w:line="276" w:lineRule="auto"/>
      </w:pPr>
      <w:r>
        <w:rPr>
          <w:rFonts w:ascii="Times New Roman" w:hAnsi="Times New Roman" w:eastAsia="Times New Roman"/>
          <w:b/>
          <w:i/>
          <w:sz w:val="24"/>
        </w:rPr>
        <w:t>Submission preparation notes</w:t>
      </w:r>
    </w:p>
    <w:p>
      <w:pPr>
        <w:spacing w:before="60" w:after="60" w:line="276" w:lineRule="auto"/>
        <w:ind w:firstLine="170"/>
        <w:jc w:val="both"/>
      </w:pPr>
      <w:r>
        <w:rPr>
          <w:rFonts w:ascii="Times New Roman" w:hAnsi="Times New Roman" w:eastAsia="Times New Roman"/>
          <w:sz w:val="24"/>
        </w:rPr>
        <w:t>• All Q2–Q3 journals require a short cover letter (≤ 1 page) highlighting novelty and scope fit.</w:t>
      </w:r>
    </w:p>
    <w:p>
      <w:pPr>
        <w:spacing w:before="60" w:after="60" w:line="276" w:lineRule="auto"/>
        <w:ind w:firstLine="170"/>
        <w:jc w:val="both"/>
      </w:pPr>
      <w:r>
        <w:rPr>
          <w:rFonts w:ascii="Times New Roman" w:hAnsi="Times New Roman" w:eastAsia="Times New Roman"/>
          <w:sz w:val="24"/>
        </w:rPr>
        <w:t>• The manuscript should be edited by a native English speaker (Editage, Enago, American Journal Experts) before Tier 1 submission, since Frontiers / Springer / Elsevier journals may desk-reject on language grounds.</w:t>
      </w:r>
    </w:p>
    <w:p>
      <w:pPr>
        <w:spacing w:before="60" w:after="60" w:line="276" w:lineRule="auto"/>
        <w:ind w:firstLine="170"/>
        <w:jc w:val="both"/>
      </w:pPr>
      <w:r>
        <w:rPr>
          <w:rFonts w:ascii="Times New Roman" w:hAnsi="Times New Roman" w:eastAsia="Times New Roman"/>
          <w:sz w:val="24"/>
        </w:rPr>
        <w:t>• Declare AI tool (LLM) usage in the cover letter and Methods section, in line with the 2024 policies of major publishers (Elsevier, Springer, Wiley, Frontiers).</w:t>
      </w:r>
    </w:p>
    <w:p>
      <w:pPr>
        <w:spacing w:before="60" w:after="60" w:line="276" w:lineRule="auto"/>
        <w:ind w:firstLine="170"/>
        <w:jc w:val="both"/>
      </w:pPr>
      <w:r>
        <w:rPr>
          <w:rFonts w:ascii="Times New Roman" w:hAnsi="Times New Roman" w:eastAsia="Times New Roman"/>
          <w:sz w:val="24"/>
        </w:rPr>
        <w:t>• Explicitly cite the three companion papers (Công and Đào, 2026 validation; two VJES narrative reviews) in Introduction and Methods to avoid editor concerns about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