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 xml:space="preserve">Tóm tắt: </w:t>
      </w:r>
      <w:r>
        <w:rPr>
          <w:rFonts w:ascii="Times New Roman" w:hAnsi="Times New Roman" w:eastAsia="Times New Roman"/>
          <w:sz w:val="22"/>
        </w:rPr>
        <w:t>Bối cảnh: Rối loạn lo âu là vấn đề sức khỏe tâm thần phổ biến nhất ở vị thành niên trên toàn cầu, song bằng chứng về các đường dẫn khác biệt từ yếu tố nguy cơ học đường đến các phân nhóm rối loạn còn ít trong bối cảnh tập thể của châu Á. Mục tiêu: Kiểm định mô hình cấu trúc tích hợp gắn năm yếu tố nguy cơ học đường (áp lực học tập, nghiện điện thoại thông minh, bắt nạt học đường, lòng tự trọng, hỗ trợ cha mẹ)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(UNICEF Việt Nam,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(Dương và cộng sự, 2025).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Năm yếu tố nguy cơ học đường (áp lực học tập, nghiện điện thoại thông minh, bắt nạt học đường, lòng tự trọng, hỗ trợ cha mẹ)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cho cả bắt nạt thể chất, lời nói và mạng, lòng tự trọng bằng thang Rosenberg 10 mục, hỗ trợ cha mẹ tri giác bằng tiểu thang cha mẹ của Thang Hỗ trợ Xã hội Đa chiều,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phần mềm SEM thông dụng, mọi ước lượng tham số được báo cáo dưới dạng hệ số chuẩn hóa β với giá trị p hai phía. Theo khuyến nghị minh bạch của Tạp chí Khoa học Giáo dục Việt Nam về khai báo sử dụng trí tuệ nhân tạo, nhóm tác giả có dùng công cụ mô hình ngôn ngữ lớn chỉ ở vai trò hỗ trợ ngôn ngữ tiếng Anh và định dạng trích dẫn; toàn bộ quyết định phân tích, diễn giải và viết nội dung khoa học do nhóm tác giả tự thực hiện.</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giải rải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thám trắc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tạo ra hành vi né tránh kéo dài khỏi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Thiết kế can thiệp theo phân nhóm là hàm ý trực tiếp.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thám trắc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2026-05-13T18:00:00Z</dcterms:modified>
  <cp:category/>
</cp:coreProperties>
</file>