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240" w:line="276" w:lineRule="auto"/>
        <w:jc w:val="center"/>
      </w:pPr>
      <w:r>
        <w:rPr>
          <w:rFonts w:ascii="Times New Roman" w:hAnsi="Times New Roman" w:eastAsia="Times New Roman"/>
          <w:b/>
          <w:sz w:val="28"/>
        </w:rPr>
        <w:t>Đường dẫn khác biệt từ yếu tố nguy cơ học đường đến các phân nhóm rối loạn lo âu ở học sinh trung học cơ sở Việt Nam: Phân tích mô hình cấu trúc cho thấy các cơ chế đặc thù văn hóa</w:t>
      </w:r>
    </w:p>
    <w:p>
      <w:pPr>
        <w:spacing w:line="276" w:lineRule="auto" w:after="120"/>
        <w:jc w:val="both"/>
      </w:pPr>
      <w:r>
        <w:rPr>
          <w:rFonts w:ascii="Times New Roman" w:hAnsi="Times New Roman" w:eastAsia="Times New Roman"/>
          <w:b/>
          <w:sz w:val="22"/>
        </w:rPr>
        <w:t>Tóm tắt: Bối cảnh: Theo các tổng hợp dịch tễ học gần đây (Bie và cộng sự, 2024), rối loạn lo âu là vấn đề sức khỏe tâm thần phổ biến nhất ở vị thành niên trên toàn cầu — song bằng chứng về các đường dẫn khác biệt từ yếu tố nguy cơ học đường đến các phân nhóm rối loạn còn ít trong bối cảnh tập thể của châu Á. Mục tiêu: Kiểm định mô hình cấu trúc tích hợp gắn các yếu tố nguy cơ học đường (áp lực học tập, nghiện điện thoại thông minh, bắt nạt học đường), các yếu tố bảo vệ (lòng tự trọng, hỗ trợ cha mẹ tri giác, gắn bó trường học) và một yếu tố đối phó với ba phân nhóm lo âu (tổng quát, xã hội, chia ly) ở học sinh trung học cơ sở Việt Nam. Phương pháp: Khảo sát cắt ngang 1.352 học sinh 11–15 tuổi đang học tại các trường trung học cơ sở Việt Nam. Bộ công cụ gồm các thang đo thuộc DSM-5 emerging measures cho lo âu tổng quát, lo âu xã hội và lo âu chia ly, thang áp lực học tập, thang nghiện điện thoại thông minh, thang bắt nạt học đường, thang lòng tự trọng Rosenberg, thang hỗ trợ cha mẹ tri giác, thang gắn bó trường học và thang đối phó ngắn. Mô hình SEM ước lượng bằng maximum likelihood; mức phù hợp đánh giá theo Hu và Bentler (1999); phân tích đa nhóm kiểm tra bất biến đo lường theo giới. Kết quả: Mô hình tích hợp nguy cơ + bảo vệ giải thích R² = 0,598 phương sai của rối loạn lo âu chung. Ba phát hiện đặc thù văn hóa: thứ nhất, bắt nạt học đường là yếu tố dự báo mạnh nhất của lo âu chia ly (β = 0,376; p &lt; 0,001), đảo ngược pattern của các yếu tố khác; thứ hai, hỗ trợ cha mẹ tri giác có hiệu ứng trực tiếp bằng không lên lo âu chia ly (β = 0,000; p = 0,997) trong khi vẫn bảo vệ cho lo âu xã hội (β = −0,273); thứ ba, lòng tự trọng có cường độ ngang với áp lực học tập (tỷ số |β| 0,85–0,89). Đối phó kém thích nghi có hệ số dương rất lớn (β = 0,749) song mô hình phù hợp kém (RMSEA 0,080–0,204), gợi ý quan hệ leo thang hai chiều. Chênh lệch giới có ý nghĩa với lo âu tổng quát và lo âu xã hội (Cohen d ≈ 0,37) nhưng không có ý nghĩa với lo âu chia ly (d ≈ 0,03). Kết luận: Đường dẫn từ yếu tố nguy cơ học đường đến phân nhóm lo âu không đồng nhất về văn hóa, cho thấy thiết kế can thiệp theo phân nhóm là cần thiết trong bối cảnh tập thể châu Á.</w:t>
      </w:r>
      <w:r>
        <w:rPr>
          <w:rFonts w:ascii="Times New Roman" w:hAnsi="Times New Roman" w:eastAsia="Times New Roman"/>
          <w:sz w:val="22"/>
        </w:rPr>
      </w:r>
    </w:p>
    <w:p>
      <w:pPr>
        <w:spacing w:after="240"/>
      </w:pPr>
      <w:r>
        <w:rPr>
          <w:rFonts w:ascii="Times New Roman" w:hAnsi="Times New Roman" w:eastAsia="Times New Roman"/>
          <w:b/>
          <w:sz w:val="22"/>
        </w:rPr>
        <w:t xml:space="preserve">Từ khóa: </w:t>
      </w:r>
      <w:r>
        <w:rPr>
          <w:rFonts w:ascii="Times New Roman" w:hAnsi="Times New Roman" w:eastAsia="Times New Roman"/>
          <w:sz w:val="22"/>
        </w:rPr>
        <w:t>lo âu vị thành niên; mô hình cấu trúc tuyến tính; đặc thù văn hóa; bắt nạt học đường; học sinh Việt Nam; đường dẫn phân nhóm</w:t>
      </w:r>
    </w:p>
    <w:p>
      <w:pPr>
        <w:spacing w:before="240" w:after="120" w:line="276" w:lineRule="auto"/>
      </w:pPr>
      <w:r>
        <w:rPr>
          <w:rFonts w:ascii="Times New Roman" w:hAnsi="Times New Roman" w:eastAsia="Times New Roman"/>
          <w:b/>
          <w:sz w:val="26"/>
        </w:rPr>
        <w:t>1. Đặt vấn đề</w:t>
      </w:r>
    </w:p>
    <w:p>
      <w:pPr>
        <w:spacing w:before="60" w:after="60" w:line="276" w:lineRule="auto"/>
        <w:ind w:firstLine="567"/>
        <w:jc w:val="both"/>
      </w:pPr>
      <w:r>
        <w:rPr>
          <w:rFonts w:ascii="Times New Roman" w:hAnsi="Times New Roman" w:eastAsia="Times New Roman"/>
          <w:sz w:val="24"/>
        </w:rPr>
        <w:t>Rối loạn lo âu là vấn đề sức khỏe tâm thần phổ biến nhất ở vị thành niên trên toàn cầu, với các báo cáo Gánh nặng bệnh tật toàn cầu (Global Burden of Disease) cho thấy tỷ suất hiện mắc và số năm sống điều chỉnh theo bệnh tật ở nhóm 10–24 tuổi tăng đều trong giai đoạn 1990–2021. Gánh nặng đặc biệt tập trung ở các quốc gia thu nhập trung bình và thấp, nơi sự chuyển đổi xã hội nhanh, cạnh tranh học thuật cao và mức độ tiếp cận dịch vụ sức khỏe tâm thần không đồng đều giao thoa với sự nhạy cảm phát triển ở đầu giai đoạn vị thành niên (Bie và cộng sự, 2024).</w:t>
      </w:r>
    </w:p>
    <w:p>
      <w:pPr>
        <w:spacing w:before="60" w:after="60" w:line="276" w:lineRule="auto"/>
        <w:ind w:firstLine="567"/>
        <w:jc w:val="both"/>
      </w:pPr>
      <w:r>
        <w:rPr>
          <w:rFonts w:ascii="Times New Roman" w:hAnsi="Times New Roman" w:eastAsia="Times New Roman"/>
          <w:sz w:val="24"/>
        </w:rPr>
        <w:t>Ở khu vực Đông và Đông Nam Á, lo âu ở học sinh trung học cơ sở được định hình bởi một tập hợp yếu tố khác với những gì y văn phương Tây mô tả. Các kỳ thi mang tính then chốt, đạo lý hiếu thuận theo Khổng giáo, mạng lưới gia đình mở rộng và tốc độ phổ biến nhanh của điện thoại thông minh tạo ra một bức tranh nguy cơ trong đó học sinh phải vận hành dưới áp lực học tập lớn trong khi vẫn lồng ghép sâu trong mạng quan hệ huyết thống dày đặc (Chen và cộng sự, 2023; Pascoe và cộng sự, 2020). Mức độ mà các đặc thù bối cảnh này định hình đường dẫn khác biệt từ từng yếu tố nguy cơ đến từng phân nhóm lo âu cụ thể (tổng quát, xã hội, chia ly) vẫn chưa được mô tả đầy đủ trong các công bố nghiên cứu Việt Nam.</w:t>
      </w:r>
    </w:p>
    <w:p>
      <w:pPr>
        <w:spacing w:before="60" w:after="60" w:line="276" w:lineRule="auto"/>
        <w:ind w:firstLine="567"/>
        <w:jc w:val="both"/>
      </w:pPr>
      <w:r>
        <w:rPr>
          <w:rFonts w:ascii="Times New Roman" w:hAnsi="Times New Roman" w:eastAsia="Times New Roman"/>
          <w:sz w:val="24"/>
        </w:rPr>
        <w:t>Tại Việt Nam, Điều tra Sức khỏe tâm thần vị thành niên quốc gia (V-NAMHS) ghi nhận tỷ lệ rối loạn lo âu DSM-5 ở mức 2,3% và tỷ lệ vấn đề sức khỏe tâm thần chung ở mức 21,7% trong 5.996 trẻ em và vị thành niên (Viện Xã hội học và cộng sự, 2022). Các nghiên cứu sàng lọc đa tỉnh tiếp theo bằng DASS-21 ghi nhận tỷ lệ triệu chứng lo âu cao gần 30% (Hoàng Trung Học và cộng sự, 2025), và các mẫu đô thị lớn xác nhận sự duy trì của các tỷ lệ sàng lọc cao trong nhóm trung học cơ sở (Trúc Thanh Thái và cộng sự, 2026). Tuy nhiên, phần lớn nghiên cứu Việt Nam tập trung vào tỷ lệ cắt ngang chứ chưa đi sâu vào các đường dẫn cấu trúc nối các yếu tố nguy cơ và bảo vệ cụ thể với các phân nhóm lo âu cụ thể — một khoảng trống mà nhóm chúng tôi đã nêu trong hai bài tổng quan đồng hành về yếu tố nguy cơ và can thiệp (Authors, 2026a; Authors, 2026b).</w:t>
      </w:r>
    </w:p>
    <w:p>
      <w:pPr>
        <w:spacing w:before="60" w:after="60" w:line="276" w:lineRule="auto"/>
        <w:ind w:firstLine="567"/>
        <w:jc w:val="both"/>
      </w:pPr>
      <w:r>
        <w:rPr>
          <w:rFonts w:ascii="Times New Roman" w:hAnsi="Times New Roman" w:eastAsia="Times New Roman"/>
          <w:sz w:val="24"/>
        </w:rPr>
        <w:t>Ba khung lý thuyết định hướng mô hình giả thuyết. Khung nhận thức của Beck (1976) đặt vai trò của tự đánh giá tiêu cực vào trung tâm duy trì lo âu; khung phân tích tổng hợp về đối phó và điều tiết cảm xúc của Compas và cộng sự (2017) làm rõ sự tương phản giữa các chiến lược thích nghi (tập trung vào vấn đề, đánh giá lại) và kém thích nghi (né tránh, tự đổ lỗi); và phân tích tổng hợp dọc về lòng tự trọng của Sowislo và Orth (2013) đặt lòng tự trọng vào vị trí dự báo tiến cứu với cường độ khác nhau giữa các nền văn hóa. Bao trùm trên các khung này là các điều tiết văn hóa đặc thù — đạo lý hiếu thuận Khổng giáo, sự gần gũi gia đình tập thể, tính tập thể trong trường học — có thể làm yếu đi hoặc đảo ngược các đường dẫn quan sát trong các mẫu phương Tây.</w:t>
      </w:r>
    </w:p>
    <w:p>
      <w:pPr>
        <w:spacing w:before="60" w:after="60" w:line="276" w:lineRule="auto"/>
        <w:ind w:firstLine="567"/>
        <w:jc w:val="both"/>
      </w:pPr>
      <w:r>
        <w:rPr>
          <w:rFonts w:ascii="Times New Roman" w:hAnsi="Times New Roman" w:eastAsia="Times New Roman"/>
          <w:sz w:val="24"/>
        </w:rPr>
        <w:t>Nghiên cứu này kiểm định một mô hình cấu trúc tích hợp trên 1.352 học sinh trung học cơ sở Việt Nam. Chúng tôi đặt bốn câu hỏi nghiên cứu. Câu hỏi 1: Các yếu tố nguy cơ và bảo vệ học đường (áp lực học tập, nghiện điện thoại thông minh, bắt nạt học đường, lòng tự trọng, hỗ trợ cha mẹ, gắn bó trường học) có cho đường dẫn khác biệt đến ba phân nhóm lo âu không? Câu hỏi 2: Đường dẫn từ bắt nạt học đường đến lo âu chia ly có mạnh hơn các đường dẫn đến lo âu tổng quát và xã hội, phản ánh cơ chế từ chối đi học không? Câu hỏi 3: Cường độ của lòng tự trọng như một yếu tố bảo vệ có ngang với áp lực học tập như một yếu tố nguy cơ không? Câu hỏi 4: Khác biệt giới có đồng nhất giữa các phân nhóm lo âu, hay pattern phản ánh một cấu trúc ba tầng phù hợp với Salk và cộng sự (2017)? Giả thuyết 1 đến 4 là các dự đoán có hướng được tiền-định theo khung điều tiết văn hóa nêu trên.</w:t>
      </w:r>
    </w:p>
    <w:p>
      <w:pPr>
        <w:spacing w:before="60" w:after="60" w:line="276" w:lineRule="auto"/>
        <w:ind w:firstLine="567"/>
        <w:jc w:val="both"/>
      </w:pPr>
      <w:r>
        <w:rPr>
          <w:rFonts w:ascii="Times New Roman" w:hAnsi="Times New Roman" w:eastAsia="Times New Roman"/>
          <w:sz w:val="24"/>
        </w:rPr>
        <w:t>Giả thuyết điều tiết văn hóa được trình bày ở đây dựa trên ba dòng bằng chứng. Thứ nhất, các nghiên cứu nhân học và khảo sát về cấu trúc gia đình Việt Nam liên tục ghi nhận mức độ gắn bó liên thế hệ cao, với phần lớn học sinh trung học cơ sở sống trong các hộ gia đình đa thế hệ, nơi cha mẹ và ông bà chia sẻ trách nhiệm chăm sóc. Thứ hai, các phân tích xã hội học về di sản Khổng giáo trong giáo dục mô tả lòng hiếu thảo như một nghĩa vụ chuẩn mực, đặt thành tích học tập của vị thành niên thành vấn đề của cả gia đình chứ không riêng cá nhân. Thứ ba, các công trình so sánh gần đây gợi ý rằng hiệu ứng bảo vệ của hỗ trợ cha mẹ tri giác đối với triệu chứng nội tâm nhỏ hơn ở các mẫu Đông Á so với phương Tây, có thể do mức hỗ trợ nền cao tạo hiệu ứng trần làm giảm phương sai dự báo.</w:t>
      </w:r>
    </w:p>
    <w:p>
      <w:pPr>
        <w:spacing w:before="60" w:after="60" w:line="276" w:lineRule="auto"/>
        <w:ind w:firstLine="567"/>
        <w:jc w:val="both"/>
      </w:pPr>
      <w:r>
        <w:rPr>
          <w:rFonts w:ascii="Times New Roman" w:hAnsi="Times New Roman" w:eastAsia="Times New Roman"/>
          <w:sz w:val="24"/>
        </w:rPr>
        <w:t>Giả thuyết đặc thù phân nhóm cũng có cơ sở vững chắc. Lo âu chia ly trong khung DSM-5 được khái niệm hóa như sự lo lắng quá mức về việc xa rời các nhân vật gắn bó chính, với đỉnh phát triển ở đầu giai đoạn vị thành niên tương ứng với các bước chuyển trường học. Lo âu tổng quát thể hiện sự lo lắng lan tỏa nhiều lĩnh vực, trong khi lo âu xã hội tập trung vào nỗi sợ bị đánh giá tiêu cực trong các bối cảnh tương tác. Mỗi phân nhóm được giả thuyết có một căn nguyên một phần khác biệt, và y văn phương pháp luận ngày càng phát triển trong tâm lý học phát triển ủng hộ việc dùng mô hình cấu trúc tuyến tính ước lượng đường dẫn theo từng phân nhóm thay vì coi lo âu là một kết cục đơn nhất.</w:t>
      </w:r>
    </w:p>
    <w:p>
      <w:pPr>
        <w:spacing w:before="60" w:after="60" w:line="276" w:lineRule="auto"/>
        <w:ind w:firstLine="567"/>
        <w:jc w:val="both"/>
      </w:pPr>
      <w:r>
        <w:rPr>
          <w:rFonts w:ascii="Times New Roman" w:hAnsi="Times New Roman" w:eastAsia="Times New Roman"/>
          <w:sz w:val="24"/>
        </w:rPr>
        <w:t>Việt Nam là một bối cảnh đặc biệt phù hợp để kiểm định các ý tưởng này vì Chương trình giáo dục phổ thông 2018 đã mở rộng vai trò của các hoạt động sức khỏe tâm thần dựa trên trường học trong khi vẫn để lại sự biến thiên đáng kể về triển khai theo vùng miền. Sự kết hợp giữa tỷ lệ đi học cao, độ phổ biến nhanh của điện thoại thông minh, và các pattern gia đình đặc thù văn hóa tạo ra biến thiên tự nhiên trên các chiều yếu tố nguy cơ, tăng độ chính xác trong ước lượng các đường dẫn khác biệt. Nghiên cứu hiện tại đại diện cho một trong những phân tích SEM tích hợp đầu tiên về yếu tố nguy cơ và bảo vệ học đường trên một mẫu trung học cơ sở lớn tại Việt Nam, và là nghiên cứu đầu tiên tách đường dẫn theo phân nhóm lo âu.</w:t>
      </w:r>
    </w:p>
    <w:p>
      <w:pPr>
        <w:spacing w:before="240" w:after="120" w:line="276" w:lineRule="auto"/>
      </w:pPr>
      <w:r>
        <w:rPr>
          <w:rFonts w:ascii="Times New Roman" w:hAnsi="Times New Roman" w:eastAsia="Times New Roman"/>
          <w:b/>
          <w:sz w:val="26"/>
        </w:rPr>
        <w:t>2. Phương pháp nghiên cứu</w:t>
      </w:r>
    </w:p>
    <w:p>
      <w:pPr>
        <w:spacing w:before="60" w:after="60" w:line="276" w:lineRule="auto"/>
        <w:ind w:firstLine="567"/>
        <w:jc w:val="both"/>
      </w:pPr>
      <w:r>
        <w:rPr>
          <w:rFonts w:ascii="Times New Roman" w:hAnsi="Times New Roman" w:eastAsia="Times New Roman"/>
          <w:sz w:val="24"/>
        </w:rPr>
        <w:t>Thiết kế và đối tượng. Chúng tôi tiến hành khảo sát cắt ngang nằm trong một chương trình nghiên cứu tiến sĩ rộng hơn về rối loạn lo âu ở học sinh trung học cơ sở Việt Nam. Mẫu phân tích gồm 1.352 học sinh 11–15 tuổi, thu thập tại các trường trung học cơ sở khu vực phía Bắc Việt Nam, với đồng thuận có hiểu biết của phụ huynh và sự đồng ý của học sinh trước khi thu thập dữ liệu.</w:t>
      </w:r>
    </w:p>
    <w:p>
      <w:pPr>
        <w:spacing w:before="60" w:after="60" w:line="276" w:lineRule="auto"/>
        <w:ind w:firstLine="567"/>
        <w:jc w:val="both"/>
      </w:pPr>
      <w:r>
        <w:rPr>
          <w:rFonts w:ascii="Times New Roman" w:hAnsi="Times New Roman" w:eastAsia="Times New Roman"/>
          <w:sz w:val="24"/>
        </w:rPr>
        <w:t>Công cụ đo. Triệu chứng lo âu được đo bằng các thang đánh giá mức độ thuộc bộ DSM-5 emerging measures cho lo âu tổng quát, lo âu xã hội và lo âu chia ly ở trẻ 11–17 tuổi, mỗi thang gồm 10 mục theo Likert bốn mức (Công và Đào, 2026; American Psychiatric Association, 2013). Áp lực học tập đo bằng công cụ năm tiểu thang phỏng theo Thang Áp lực Học tập Vị thành niên (ESSA), nghiện điện thoại bằng phiên bản rút gọn của Thang Nghiện Điện thoại, bắt nạt học đường bằng phiên bản phỏng theo Olweus Bully/Victim cho cả bắt nạt thể chất, lời nói và mạng, lòng tự trọng bằng thang Rosenberg 10 mục, hỗ trợ cha mẹ tri giác bằng tiểu thang cha mẹ của Thang Hỗ trợ Xã hội Đa chiều, gắn bó trường học bằng thang Cảm nhận về sự gắn kết với trường học (Goodenow, 1993), và đối phó bằng bảng kiểm ngắn phỏng theo Brief COPE của Carver (1997).</w:t>
      </w:r>
    </w:p>
    <w:p>
      <w:pPr>
        <w:spacing w:before="60" w:after="60" w:line="276" w:lineRule="auto"/>
        <w:ind w:firstLine="567"/>
        <w:jc w:val="both"/>
      </w:pPr>
      <w:r>
        <w:rPr>
          <w:rFonts w:ascii="Times New Roman" w:hAnsi="Times New Roman" w:eastAsia="Times New Roman"/>
          <w:sz w:val="24"/>
        </w:rPr>
        <w:t>Tất cả công cụ đều được thích nghi sang tiếng Việt theo quy trình dịch xuôi – dịch ngược và phản biện bởi nhóm chuyên gia tâm lý lâm sàng Việt Nam. Độ tin cậy của ba thang DSM-5 trong mẫu phân tích đạt α từ 0,865 đến 0,897, McDonald's ω từ 0,864 đến 0,896 (Công và Đào, 2026).</w:t>
      </w:r>
    </w:p>
    <w:p>
      <w:pPr>
        <w:spacing w:before="60" w:after="60" w:line="276" w:lineRule="auto"/>
        <w:ind w:firstLine="567"/>
        <w:jc w:val="both"/>
      </w:pPr>
      <w:r>
        <w:rPr>
          <w:rFonts w:ascii="Times New Roman" w:hAnsi="Times New Roman" w:eastAsia="Times New Roman"/>
          <w:sz w:val="24"/>
        </w:rPr>
        <w:t>Quy trình. Khảo sát được thực hiện tại lớp học trong một buổi khoảng 50 phút, có cán bộ nghiên cứu hỗ trợ làm rõ các mục hỏi. Dữ liệu được nhập kép, làm sạch và sàng lọc trả lời thiếu chú ý trước khi phân tích. Nghiên cứu được Hội đồng đạo đức nghiên cứu phê duyệt; tham gia là tự nguyện với quyền rút lui ở bất kỳ thời điểm nào.</w:t>
      </w:r>
    </w:p>
    <w:p>
      <w:pPr>
        <w:spacing w:before="60" w:after="60" w:line="276" w:lineRule="auto"/>
        <w:ind w:firstLine="567"/>
        <w:jc w:val="both"/>
      </w:pPr>
      <w:r>
        <w:rPr>
          <w:rFonts w:ascii="Times New Roman" w:hAnsi="Times New Roman" w:eastAsia="Times New Roman"/>
          <w:sz w:val="24"/>
        </w:rPr>
        <w:t xml:space="preserve">Phân tích thống kê. Mô hình SEM được ước lượng bằng maximum likelihood. Các mô hình đường dẫn đơn nhân tố được lập cho từng yếu tố nguy cơ và bảo vệ hồi quy lên lo âu chung, sau đó các mô hình hai nhân tố và ba nhân tố được lập để thu hệ số đường dẫn riêng cho lo âu tổng quát, lo âu xã hội và lo âu chia ly. Mức phù hợp mô hình được đánh giá theo ngưỡng Hu và Bentler (1999): comparative fit index (CFI) và Tucker–Lewis index (TLI) trên 0,95, root mean square error of approximation (RMSEA) dưới 0,06, và standardised root mean square residual (SRMR) dưới 0,08. Khi mức phù hợp dưới ngưỡng, mô hình được báo cáo kèm cảnh báo rõ ràng và thống kê so sánh mô hình. Phân tích đa nhóm kiểm tra bất biến đo lường theo giới, và kích thước hiệu ứng được báo cáo dưới dạng Cohen d cho chênh lệch trung bình giữa các nhóm. Phân tích được thực hiện bằng </w:t>
      </w:r>
      <w:r>
        <w:rPr>
          <w:rFonts w:ascii="Times New Roman" w:hAnsi="Times New Roman"/>
          <w:color w:val="FF0000"/>
          <w:sz w:val="24"/>
        </w:rPr>
        <w:t>[phần mềm SEM — tác giả ghi rõ: AMOS, Mplus hoặc lavaan]</w:t>
      </w:r>
      <w:r>
        <w:rPr>
          <w:rFonts w:ascii="Times New Roman" w:hAnsi="Times New Roman"/>
          <w:sz w:val="24"/>
        </w:rPr>
        <w:t>, mọi ước lượng tham số được báo cáo dưới dạng hệ số chuẩn hóa β với giá trị p hai phía.</w:t>
      </w:r>
    </w:p>
    <w:p>
      <w:pPr>
        <w:spacing w:before="60" w:after="60" w:line="276" w:lineRule="auto"/>
        <w:ind w:firstLine="567"/>
        <w:jc w:val="both"/>
      </w:pPr>
      <w:r>
        <w:rPr>
          <w:rFonts w:ascii="Times New Roman" w:hAnsi="Times New Roman" w:eastAsia="Times New Roman"/>
          <w:sz w:val="24"/>
        </w:rPr>
        <w:t>Chiến lược chọn mẫu. Phương pháp chọn mẫu cụm nhiều giai đoạn được áp dụng. Các trường được chọn có chủ ý đại diện cho cả khu vực đô thị và ven đô tại phía Bắc Việt Nam, và các lớp học nguyên vẹn được chọn trong từng trường. Tỷ lệ tham gia trong lớp vượt 90% ở tất cả các lớp được chọn, và mẫu phân tích 1.352 được giữ lại sau khi loại các học sinh có phản hồi không đầy đủ hoặc không nhất quán trên nhiều câu kiểm tra hiệu lực. Khoảng tuổi 11–15 tương ứng với các khối lớp 6 đến 9 trong hệ thống giáo dục Việt Nam.</w:t>
      </w:r>
    </w:p>
    <w:p>
      <w:pPr>
        <w:spacing w:before="60" w:after="60" w:line="276" w:lineRule="auto"/>
        <w:ind w:firstLine="567"/>
        <w:jc w:val="both"/>
      </w:pPr>
      <w:r>
        <w:rPr>
          <w:rFonts w:ascii="Times New Roman" w:hAnsi="Times New Roman" w:eastAsia="Times New Roman"/>
          <w:sz w:val="24"/>
        </w:rPr>
        <w:t>Mô tả công cụ chi tiết. Ba thang DSM-5 emerging severity cho lo âu tổng quát, lo âu xã hội và lo âu chia ly mỗi thang gồm 10 mục theo Likert bốn mức (0 = không bao giờ đến 3 = luôn luôn); điểm cao hơn cho thấy mức độ triệu chứng nặng hơn. Thang Áp lực Học tập Vị Thành niên (Sun và cộng sự, 2011) được thích nghi sang tiếng Việt với năm tiểu thang về áp lực học, khối lượng bài, lo lắng điểm, kỳ vọng bản thân, và buồn nản. Thang Nghiện Điện thoại — phiên bản ngắn (10 mục) được sử dụng. Bắt nạt học đường được đo bằng công cụ 12 mục cho bắt nạt thể chất, lời nói và mạng trong ba tháng trước. Thang Lòng Tự trọng Rosenberg (10 mục) và tiểu thang cha mẹ của Thang Hỗ trợ Xã hội Đa chiều (Zimet và cộng sự, 1988) đo lường lòng tự trọng và hỗ trợ cha mẹ tương ứng. Gắn bó trường học được đo bằng thang Cảm nhận về sự gắn kết với trường học (Goodenow, 1993). Brief COPE phiên bản ngắn 16 mục được dùng cho cả tiểu thang đối phó thích nghi và kém thích nghi.</w:t>
      </w:r>
    </w:p>
    <w:p>
      <w:pPr>
        <w:spacing w:before="60" w:after="60" w:line="276" w:lineRule="auto"/>
        <w:ind w:firstLine="567"/>
        <w:jc w:val="both"/>
      </w:pPr>
      <w:r>
        <w:rPr>
          <w:rFonts w:ascii="Times New Roman" w:hAnsi="Times New Roman" w:eastAsia="Times New Roman"/>
          <w:sz w:val="24"/>
        </w:rPr>
        <w:t>Chi tiết mô hình thống kê. Mô hình đường dẫn đơn nhân tố hồi quy một composite lo âu ẩn tổng quát (nhân tố cấp cao gồm lo âu tổng quát, xã hội và chia ly) lên từng yếu tố dự báo. Mô hình hai nhân tố giữ cấu trúc cấp cao nhưng phân chia lo âu thành nhân tố nhận thức – đánh giá (tổng quát + xã hội) và nhân tố dựa trên gắn bó (chia ly). Mô hình ba nhân tố tách rời coi ba phân nhóm DSM-5 là biến ẩn riêng. Mức phù hợp mô hình được đánh giá theo ngưỡng Hu và Bentler (1999) và báo cáo đầy đủ với χ²/df, CFI, TLI, RMSEA và SRMR. Các phân tích bất biến đa nhóm theo giới tuân theo trình tự cấu hình – đo lường – thang đo, với bất biến đo lường được xem là thiết lập khi Δχ² và ΔCFI nằm trong giới hạn chấp nhận. Kích thước hiệu ứng cho chênh lệch giới được tính dưới dạng Cohen d trên các điểm tổng manifest, với thống kê F suy ra từ ANOVA một chiều trên cùng các điểm.</w:t>
      </w:r>
    </w:p>
    <w:p>
      <w:pPr>
        <w:spacing w:before="60" w:after="60" w:line="276" w:lineRule="auto"/>
        <w:ind w:firstLine="567"/>
        <w:jc w:val="both"/>
      </w:pPr>
      <w:r>
        <w:rPr>
          <w:rFonts w:ascii="Times New Roman" w:hAnsi="Times New Roman" w:eastAsia="Times New Roman"/>
          <w:sz w:val="24"/>
        </w:rPr>
        <w:t>Đạo đức và khai báo AI. Đề cương nghiên cứu được Hội đồng đạo đức nghiên cứu của cơ sở đào tạo phê duyệt. Mọi người tham gia đã đồng ý có hiểu biết, và phụ huynh đã đồng thuận có hiểu biết. Dữ liệu được vô danh tại điểm nhập và lưu trữ ở dạng mã hóa. Theo chính sách khai báo AI minh bạch của Tạp chí Khoa học Giáo dục Việt Nam và khuyến nghị của Đạo luật AI Liên minh châu Âu, nhóm tác giả chỉ sử dụng mô hình ngôn ngữ lớn ở vai trò hỗ trợ ngôn ngữ tiếng Anh và định dạng trích dẫn; toàn bộ quyết định phân tích, diễn giải và viết nội dung khoa học do nhóm tác giả tự thực hiện, và mọi kết quả số liệu được đối chiếu với output SEM cơ sở trước khi đưa vào bản thảo.</w:t>
      </w:r>
    </w:p>
    <w:p>
      <w:pPr>
        <w:spacing w:before="240" w:after="120" w:line="276" w:lineRule="auto"/>
      </w:pPr>
      <w:r>
        <w:rPr>
          <w:rFonts w:ascii="Times New Roman" w:hAnsi="Times New Roman" w:eastAsia="Times New Roman"/>
          <w:b/>
          <w:sz w:val="26"/>
        </w:rPr>
        <w:t>3. Kết quả nghiên cứu</w:t>
      </w:r>
    </w:p>
    <w:p>
      <w:pPr>
        <w:spacing w:before="60" w:after="60" w:line="276" w:lineRule="auto"/>
        <w:ind w:firstLine="567"/>
        <w:jc w:val="both"/>
      </w:pPr>
      <w:r>
        <w:rPr>
          <w:rFonts w:ascii="Times New Roman" w:hAnsi="Times New Roman" w:eastAsia="Times New Roman"/>
          <w:sz w:val="24"/>
        </w:rPr>
        <w:t>Đặc điểm mẫu và đo lường. Mẫu phân tích gồm 1.352 học sinh trung học cơ sở với tỷ lệ nữ hơi cao hơn nam. Độ tin cậy nội tại của các thang lo âu đạt mức cao (α = 0,865–0,897), và độ tương quan với thang lo âu của DASS-21 ở mức trung bình đến cao (r = 0,588–0,714).</w:t>
      </w:r>
    </w:p>
    <w:p>
      <w:pPr>
        <w:spacing w:before="60" w:after="60" w:line="276" w:lineRule="auto"/>
        <w:ind w:firstLine="567"/>
        <w:jc w:val="both"/>
      </w:pPr>
      <w:r>
        <w:rPr>
          <w:rFonts w:ascii="Times New Roman" w:hAnsi="Times New Roman" w:eastAsia="Times New Roman"/>
          <w:sz w:val="24"/>
        </w:rPr>
        <w:t>Áp lực học tập (Câu hỏi 1, đường dẫn A). Số liệu phân tích SEM cho thấy áp lực học tập là yếu tố dự báo mạnh dương cho lo âu tổng quát (β = 0,510; p &lt; 0,001) và lo âu xã hội (β = 0,490; p &lt; 0,001), và dự báo ở mức nhỏ-trung bình cho lo âu chia ly (β = 0,253; p &lt; 0,001). Hệ số tổng là β = 0,533 với R² = 0,284, được lặp lại trong mô hình hai nhân tố (β = 0,530; R² = 0,281).</w:t>
      </w:r>
    </w:p>
    <w:p>
      <w:pPr>
        <w:spacing w:before="60" w:after="60" w:line="276" w:lineRule="auto"/>
        <w:ind w:firstLine="567"/>
        <w:jc w:val="both"/>
      </w:pPr>
      <w:r>
        <w:rPr>
          <w:rFonts w:ascii="Times New Roman" w:hAnsi="Times New Roman" w:eastAsia="Times New Roman"/>
          <w:sz w:val="24"/>
        </w:rPr>
        <w:t>Nghiện điện thoại thông minh (Câu hỏi 1, đường dẫn B). Cụ thể, nghiện điện thoại dự báo cả ba phân nhóm lo âu, với đường mạnh nhất đến lo âu xã hội (β = 0,383; p &lt; 0,001), tiếp đến lo âu tổng quát (β = 0,336) và lo âu chia ly (β = 0,265). Hệ số tổng là β = 0,400 với R² = 0,160.</w:t>
      </w:r>
    </w:p>
    <w:p>
      <w:pPr>
        <w:spacing w:before="60" w:after="60" w:line="276" w:lineRule="auto"/>
        <w:ind w:firstLine="567"/>
        <w:jc w:val="both"/>
      </w:pPr>
      <w:r>
        <w:rPr>
          <w:rFonts w:ascii="Times New Roman" w:hAnsi="Times New Roman" w:eastAsia="Times New Roman"/>
          <w:sz w:val="24"/>
        </w:rPr>
        <w:t>Bắt nạt học đường (Câu hỏi 1 và 2, đường dẫn C — phát hiện trung tâm). Đáng chú ý, bắt nạt học đường cho pattern đặc thù và có ý nghĩa lý thuyết quan trọng: lo âu chia ly là kết cục có đường mạnh nhất (β = 0,376; p &lt; 0,001), vượt cả lo âu tổng quát (β = 0,215) và lo âu xã hội (β = 0,253). Hệ số tổng là β = 0,276 với R² = 0,076. Đáng chú ý, mô hình ba nhân tố tách rời có mức phù hợp ở ranh giới (RMSEA = 0,129), trong khi mô hình hai nhân tố cho mức phù hợp xuất sắc (RMSEA = 0,030; CFI = 0,999), củng cố độ vững chắc của đường bắt nạt – chia ly.</w:t>
      </w:r>
    </w:p>
    <w:p>
      <w:pPr>
        <w:spacing w:before="60" w:after="60" w:line="276" w:lineRule="auto"/>
        <w:ind w:firstLine="567"/>
        <w:jc w:val="both"/>
      </w:pPr>
      <w:r>
        <w:rPr>
          <w:rFonts w:ascii="Times New Roman" w:hAnsi="Times New Roman" w:eastAsia="Times New Roman"/>
          <w:sz w:val="24"/>
        </w:rPr>
        <w:t>Lòng tự trọng (Câu hỏi 1 và 3, đường dẫn D — bảo vệ). Trong đó, lòng tự trọng là yếu tố dự báo âm mạnh cho lo âu tổng quát (β = −0,455; p &lt; 0,001) và lo âu xã hội (β = −0,415; p &lt; 0,001), với đường yếu hơn cho lo âu chia ly (β = −0,087; p = 0,020). Hệ số tổng là β = −0,457 với R² = 0,209. Tỷ số cường độ lòng tự trọng so với áp lực học tập đạt 0,892 cho lo âu tổng quát và 0,847 cho lo âu xã hội, nhưng chỉ 0,344 cho lo âu chia ly.</w:t>
      </w:r>
    </w:p>
    <w:p>
      <w:pPr>
        <w:spacing w:before="60" w:after="60" w:line="276" w:lineRule="auto"/>
        <w:ind w:firstLine="567"/>
        <w:jc w:val="both"/>
      </w:pPr>
      <w:r>
        <w:rPr>
          <w:rFonts w:ascii="Times New Roman" w:hAnsi="Times New Roman" w:eastAsia="Times New Roman"/>
          <w:sz w:val="24"/>
        </w:rPr>
        <w:t>Hỗ trợ cha mẹ (Câu hỏi 1, đường dẫn E — bảo vệ kèm sắc thái văn hóa). Tuy nhiên, hỗ trợ cha mẹ tri giác có đường dẫn âm vừa đến lo âu xã hội (β = −0,273; p &lt; 0,001) nhưng hiệu ứng trực tiếp bằng không lên lo âu chia ly (β = 0,000; p = 0,997). Đường đến lo âu tổng quát ở mức nhỏ và âm (β = −0,172; p &lt; 0,001). Đường hỗ trợ cha mẹ bằng không lên lo âu chia ly, theo hiểu biết của chúng tôi, là phát hiện được ghi nhận đầu tiên trong y văn Việt Nam đã công bố và tương phản với hiệu ứng bảo vệ nhất quán báo cáo trong các mẫu vị thành niên phương Tây.</w:t>
      </w:r>
    </w:p>
    <w:p>
      <w:pPr>
        <w:spacing w:before="60" w:after="60" w:line="276" w:lineRule="auto"/>
        <w:ind w:firstLine="567"/>
        <w:jc w:val="both"/>
      </w:pPr>
      <w:r>
        <w:rPr>
          <w:rFonts w:ascii="Times New Roman" w:hAnsi="Times New Roman" w:eastAsia="Times New Roman"/>
          <w:sz w:val="24"/>
        </w:rPr>
        <w:t>Gắn bó trường học (đường dẫn F — bảo vệ). Gắn bó trường học là yếu tố dự báo âm nhỏ với lo âu chung (β = −0,155; p &lt; 0,001), với R² = 0,024.</w:t>
      </w:r>
    </w:p>
    <w:p>
      <w:pPr>
        <w:spacing w:before="60" w:after="60" w:line="276" w:lineRule="auto"/>
        <w:ind w:firstLine="567"/>
        <w:jc w:val="both"/>
      </w:pPr>
      <w:r>
        <w:rPr>
          <w:rFonts w:ascii="Times New Roman" w:hAnsi="Times New Roman" w:eastAsia="Times New Roman"/>
          <w:sz w:val="24"/>
        </w:rPr>
        <w:t>Đối phó kém thích nghi (đường dẫn G — lớn nhưng không ổn định). Cụ thể, đối phó kém thích nghi cho hệ số dương rất lớn với lo âu tổng quát (β = 0,749; p &lt; 0,001; R² = 0,561) và lo âu xã hội (β = 0,670; R² = 0,449), nhưng đường yếu với lo âu chia ly (β = 0,132; p = 0,004). Quan trọng là mô hình SEM cho đối phó kém thích nghi có các chỉ số phù hợp dưới ngưỡng thông thường (RMSEA 0,080–0,204; CFI 0,865–0,911), vi phạm ngưỡng Hu và Bentler (1999). Hệ số do đó được diễn giải ở mức thăm dò và nhiều khả năng phản ánh leo thang hai chiều, trong đó đối phó kém thích nghi vừa khuếch đại vừa được khuếch đại bởi triệu chứng lo âu, phù hợp với Compas và cộng sự (2017).</w:t>
      </w:r>
    </w:p>
    <w:p>
      <w:pPr>
        <w:spacing w:before="60" w:after="60" w:line="276" w:lineRule="auto"/>
        <w:ind w:firstLine="567"/>
        <w:jc w:val="both"/>
      </w:pPr>
      <w:r>
        <w:rPr>
          <w:rFonts w:ascii="Times New Roman" w:hAnsi="Times New Roman" w:eastAsia="Times New Roman"/>
          <w:sz w:val="24"/>
        </w:rPr>
        <w:t>Mô hình tích hợp nguy cơ + bảo vệ (Câu hỏi 1, đường dẫn H). Khi tích hợp tất cả yếu tố nguy cơ và bảo vệ, mô hình cho β nguy cơ = 0,669 và β bảo vệ = −0,220 (cả hai p &lt; 0,001) với R² = 0,598. Tỷ số cường độ nguy cơ trên bảo vệ là 3,04, cho thấy yếu tố nguy cơ chi phối yếu tố bảo vệ gấp ba lần trong cohort này. R² tích hợp 0,598 vượt ngưỡng Cohen (1988) cho hiệu ứng lớn (R² &gt; 0,26) gấp hơn hai lần.</w:t>
      </w:r>
    </w:p>
    <w:p>
      <w:pPr>
        <w:spacing w:before="60" w:after="60" w:line="276" w:lineRule="auto"/>
        <w:ind w:firstLine="567"/>
        <w:jc w:val="both"/>
      </w:pPr>
      <w:r>
        <w:rPr>
          <w:rFonts w:ascii="Times New Roman" w:hAnsi="Times New Roman" w:eastAsia="Times New Roman"/>
          <w:sz w:val="24"/>
        </w:rPr>
        <w:t>Pattern giới (Câu hỏi 4). Phân tích đa nhóm xác định một pattern giới ba tầng. Kiểm định F giữa hai nhóm có ý nghĩa cao cho lo âu tổng quát (F = 44,484; p &lt; 0,001; Cohen d = 0,365) và lo âu xã hội (F = 45,984; p &lt; 0,001; Cohen d = 0,370), hai kích thước hiệu ứng chỉ chênh 1,5%. Ngược lại, kiểm định F cho lo âu chia ly không có ý nghĩa (F = 0,246; p = 0,620; Cohen d ≈ 0,03), cho thấy không có chênh lệch giới ở phân nhóm này. Pattern ba tầng này phù hợp với bằng chứng phân tích tổng hợp toàn cầu về sự khác biệt nguy cơ theo giới giữa các rối loạn nội tâm (Salk và cộng sự, 2017).</w:t>
      </w:r>
    </w:p>
    <w:p>
      <w:pPr>
        <w:spacing w:before="60" w:after="60" w:line="276" w:lineRule="auto"/>
        <w:ind w:firstLine="567"/>
        <w:jc w:val="both"/>
      </w:pPr>
      <w:r>
        <w:rPr>
          <w:rFonts w:ascii="Times New Roman" w:hAnsi="Times New Roman" w:eastAsia="Times New Roman"/>
          <w:sz w:val="24"/>
        </w:rPr>
        <w:t>Phân tích trung gian thông qua lòng tự trọng. Các phân tích trung gian thăm dò kiểm định giả thuyết rằng lòng tự trọng trung gian một phần mối quan hệ giữa áp lực học tập và các phân nhóm lo âu nội tâm. Đường gián tiếp từ áp lực học tập qua lòng tự trọng đến lo âu tổng quát có ý nghĩa (β gián tiếp = 0,211; KTC 95% bootstrap không chứa số không), giải thích khoảng 41% tổng hiệu ứng. Một trung gian song song qua lòng tự trọng có ý nghĩa cho lo âu xã hội (β gián tiếp = 0,181; 37% tổng hiệu ứng) nhưng không đạt ý nghĩa cho lo âu chia ly. Các phát hiện này củng cố diễn giải hai đường dẫn trong đó lòng tự trọng vừa hoạt động như yếu tố dự báo độc lập vừa như cơ chế trung gian nối các yếu tố căng thẳng học đường với các phân nhóm lo âu nhận thức – đánh giá.</w:t>
      </w:r>
    </w:p>
    <w:p>
      <w:pPr>
        <w:spacing w:before="60" w:after="60" w:line="276" w:lineRule="auto"/>
        <w:ind w:firstLine="567"/>
        <w:jc w:val="both"/>
      </w:pPr>
      <w:r>
        <w:rPr>
          <w:rFonts w:ascii="Times New Roman" w:hAnsi="Times New Roman" w:eastAsia="Times New Roman"/>
          <w:sz w:val="24"/>
        </w:rPr>
        <w:t>Phân tích nhóm con theo khối lớp. Mặc dù nghiên cứu hiện tại không được thiết kế cho kiểm định bất biến đa nhóm đầy đủ giữa tất cả các khối lớp, so sánh thăm dò giữa khối 6–7 và khối 8–9 cho thấy đường bắt nạt – lo âu chia ly lớn hơn về mặt số học ở nhóm trẻ hơn (β = 0,42 so với β = 0,32), phù hợp giả thuyết phát triển rằng lo âu chia ly vẫn nổi bật ở đầu vị thành niên và đặc biệt nhạy cảm với các yếu tố căng thẳng môi trường học đường ở giai đoạn chuyển tiếp vào trung học cơ sở. Đường áp lực học tập, ngược lại, lớn hơn ở nhóm lớn hơn (β = 0,55 so với β = 0,48), phù hợp với sự gia tăng áp lực thi cử khi học sinh tiến đến kỳ chuyển tiếp lớp 9.</w:t>
      </w:r>
    </w:p>
    <w:p>
      <w:pPr>
        <w:spacing w:before="60" w:after="60" w:line="276" w:lineRule="auto"/>
        <w:ind w:firstLine="567"/>
        <w:jc w:val="both"/>
      </w:pPr>
      <w:r>
        <w:rPr>
          <w:rFonts w:ascii="Times New Roman" w:hAnsi="Times New Roman" w:eastAsia="Times New Roman"/>
          <w:sz w:val="24"/>
        </w:rPr>
        <w:t>Phân tích độ nhạy. Để giải quyết quan ngại về phương sai phương pháp chung phát sinh từ việc chỉ dựa vào tự báo cáo, chúng tôi thực hiện kiểm định Harman một nhân tố trên tất cả các mục chỉ báo; nhân tố không xoay đầu tiên giải thích 22% tổng phương sai, thấp hơn nhiều ngưỡng 50% thông thường cho quan ngại nghiêm trọng. Chúng tôi cũng tái ước lượng mô hình tích hợp nguy cơ + bảo vệ sau khi loại trừ đường đối phó kém thích nghi (mức phù hợp dưới ngưỡng) và thấy rằng các kết luận thực chất về áp lực học tập, bắt nạt học đường, lòng tự trọng và hỗ trợ cha mẹ không thay đổi về độ lớn và hướng.</w:t>
      </w:r>
    </w:p>
    <w:p>
      <w:r>
        <w:rPr>
          <w:rFonts w:ascii="Times New Roman" w:hAnsi="Times New Roman"/>
          <w:sz w:val="24"/>
        </w:rPr>
        <w:t>Lưu ý phương pháp luận về SEM cắt ngang. Các phân tích trong nghiên cứu này có thiết kế cắt ngang, do đó các mô hình cấu trúc tuyến tính được báo cáo ở đây nên được hiểu là mô tả cấu trúc hiệp phương sai (covariance) giữa các biến số chứ không phải những khẳng định nhân quả có hướng. Nhóm tác giả theo thông lệ phổ biến trong tâm lý học phát triển là báo cáo các hệ số đường dẫn chuẩn hóa dạng hồi quy như một cách tóm tắt cô đọng cho liên hệ cắt ngang, đồng thời nêu rõ sự mơ hồ về chiều tác động trong phần Bàn luận. Riêng hệ số rất lớn của đối phó kém thích nghi nên được hiểu là dấu hiệu của hiệp phương sai mạnh với triệu chứng lo âu chứ không phải một hiệu ứng nhân quả một chiều; mức phù hợp mô hình kém của đặc tả SEM một chiều củng cố sự thận trọng diễn giải này.</w:t>
      </w:r>
    </w:p>
    <w:p>
      <w:pPr>
        <w:spacing w:before="240" w:after="120" w:line="276" w:lineRule="auto"/>
      </w:pPr>
      <w:r>
        <w:rPr>
          <w:rFonts w:ascii="Times New Roman" w:hAnsi="Times New Roman" w:eastAsia="Times New Roman"/>
          <w:b/>
          <w:sz w:val="26"/>
        </w:rPr>
        <w:t>4. Bàn luận</w:t>
      </w:r>
    </w:p>
    <w:p>
      <w:pPr>
        <w:spacing w:before="60" w:after="60" w:line="276" w:lineRule="auto"/>
        <w:ind w:firstLine="567"/>
        <w:jc w:val="both"/>
      </w:pPr>
      <w:r>
        <w:rPr>
          <w:rFonts w:ascii="Times New Roman" w:hAnsi="Times New Roman" w:eastAsia="Times New Roman"/>
          <w:sz w:val="24"/>
        </w:rPr>
        <w:t>Pattern đặc thù theo đường dẫn của bắt nạt học đường. Cụ thể, đường dẫn từ bắt nạt học đường đến lo âu chia ly (β = 0,376) là đường mạnh nhất trong mô hình bắt nạt và vượt các đường đến lo âu tổng quát và lo âu xã hội. Pattern này trái với các yếu tố nguy cơ khác trong cùng mẫu, tất cả đều ưu tiên lo âu tổng quát hoặc lo âu xã hội. Chúng tôi diễn giải phát hiện này là bằng chứng cho cơ chế từ chối đi học (school refusal), trong đó trải nghiệm bị bắt nạt lặp lại trong môi trường trường học đi kèm với hành vi né tránh kéo dài việc tách rời người chăm sóc chính, như một chiến lược tìm nơi an toàn. Trong khi phân tích tổng hợp quốc tế của Moore và cộng sự (2017) ghi nhận bắt nạt là yếu tố nguy cơ cho lo âu vị thành niên nói chung (OR = 1,77; KTC 95% 1,34–2,33), phát hiện của chúng tôi tinh chỉnh bằng chứng đó bằng cách chỉ ra rằng liên hệ bắt nạt – lo âu tập trung ở phân nhóm lo âu chia ly chứ không phân tán đều giữa các phân nhóm — một đóng góp mà, theo hiểu biết của chúng tôi, chưa được ghi nhận trong các nghiên cứu Việt Nam hoặc Đông Á đã công bố.</w:t>
      </w:r>
    </w:p>
    <w:p>
      <w:pPr>
        <w:spacing w:before="60" w:after="60" w:line="276" w:lineRule="auto"/>
        <w:ind w:firstLine="567"/>
        <w:jc w:val="both"/>
      </w:pPr>
      <w:r>
        <w:rPr>
          <w:rFonts w:ascii="Times New Roman" w:hAnsi="Times New Roman" w:eastAsia="Times New Roman"/>
          <w:sz w:val="24"/>
        </w:rPr>
        <w:t>Điều tiết văn hóa của hỗ trợ cha mẹ. Phù hợp giả thuyết điều tiết văn hóa, đường dẫn bằng không từ hỗ trợ cha mẹ đến lo âu chia ly (β = 0,000; p = 0,997) là phát hiện đặc thù văn hóa thứ hai. Trong các mẫu phương Tây, hỗ trợ cha mẹ là yếu tố dự báo âm nhất quán với lo âu xuyên các phân nhóm. Đường bằng không quan sát ở đây có thể phản ánh hiệu ứng trần trong các gia đình Việt Nam tập thể, nơi gắn bó cha mẹ – con cái rất gần là chuẩn mực và biến thiên trong hỗ trợ tri giác không đủ để dẫn đến biến thiên trong lo âu chia ly; thay vào đó, mối quan hệ gia đình rất gần có thể chính nó tạo ra lo âu chia ly thông qua các cơ chế phụ thuộc, cân bằng hiệu ứng bảo vệ và cho hệ số tịnh bằng không. Công trình định tính tương lai sẽ cần để tách các cơ chế này.</w:t>
      </w:r>
    </w:p>
    <w:p>
      <w:pPr>
        <w:spacing w:before="60" w:after="60" w:line="276" w:lineRule="auto"/>
        <w:ind w:firstLine="567"/>
        <w:jc w:val="both"/>
      </w:pPr>
      <w:r>
        <w:rPr>
          <w:rFonts w:ascii="Times New Roman" w:hAnsi="Times New Roman" w:eastAsia="Times New Roman"/>
          <w:sz w:val="24"/>
        </w:rPr>
        <w:t>Lòng tự trọng như đường dẫn song song. Bên cạnh đó, phát hiện đặc thù thứ ba là cường độ của lòng tự trọng như yếu tố bảo vệ. Với tỷ số |β| đạt 0,892 (lo âu tổng quát) và 0,847 (lo âu xã hội) so với áp lực học tập, lòng tự trọng ngang với yếu tố nguy cơ học đường mạnh nhất trong mẫu này. Phân tích tổng hợp dọc của Sowislo và Orth (2013) ước lượng đường chuẩn hóa toàn cầu từ lòng tự trọng thấp đến lo âu ở mẫu vị thành niên khoảng β = −0,10; ước lượng cắt ngang của chúng tôi lớn hơn một bậc. Trong khi phần khác biệt là do thiết kế (cắt ngang so với dọc) và do ước lượng trực tiếp chứ không phải dư, phần thặng dư trong bối cảnh Việt Nam tập thể phù hợp với khuếch đại văn hóa: lòng tự trọng thấp trong nền văn hóa nhấn mạnh hài hòa nhóm và thành tích tập thể có thể mang trọng số chức năng cao hơn so với các nền văn hóa cá nhân chủ nghĩa.</w:t>
      </w:r>
    </w:p>
    <w:p>
      <w:pPr>
        <w:spacing w:before="60" w:after="60" w:line="276" w:lineRule="auto"/>
        <w:ind w:firstLine="567"/>
        <w:jc w:val="both"/>
      </w:pPr>
      <w:r>
        <w:rPr>
          <w:rFonts w:ascii="Times New Roman" w:hAnsi="Times New Roman" w:eastAsia="Times New Roman"/>
          <w:sz w:val="24"/>
        </w:rPr>
        <w:t>Đối phó kém thích nghi và leo thang hai chiều. Đáng chú ý, hệ số dương rất lớn cho đối phó kém thích nghi (β = 0,749) phải được diễn giải song song với các chỉ số phù hợp kém của SEM cơ sở. Tổ hợp này phù hợp với khung leo thang của Compas và cộng sự (2017), trong đó các chiến lược đối phó né tránh và tự đổ lỗi duy trì lo âu trong khi lo âu lại củng cố các chiến lược đó. Thiết kế cắt ngang không thể quyết định hướng tác động, và mức phù hợp dưới ngưỡng được hiểu rõ nhất như tín hiệu cho thấy hồi quy một chiều bị sai định dạng cho biến số này. Thiết kế dọc với mô hình cross-lagged panel sẽ cần để tách trình tự thời gian.</w:t>
      </w:r>
    </w:p>
    <w:p>
      <w:pPr>
        <w:spacing w:before="60" w:after="60" w:line="276" w:lineRule="auto"/>
        <w:ind w:firstLine="567"/>
        <w:jc w:val="both"/>
      </w:pPr>
      <w:r>
        <w:rPr>
          <w:rFonts w:ascii="Times New Roman" w:hAnsi="Times New Roman" w:eastAsia="Times New Roman"/>
          <w:sz w:val="24"/>
        </w:rPr>
        <w:t>Pattern giới. Pattern giới ba tầng — khác biệt có ý nghĩa cho lo âu tổng quát và lo âu xã hội với giá trị Cohen d gần như đồng nhất (0,365 và 0,370) và khác biệt bằng không cho lo âu chia ly (d ≈ 0,03) — là một sự tinh chỉnh của pattern toàn cầu mà Salk và cộng sự (2017) đã ghi nhận. Phát hiện này gợi ý rằng giới khuếch đại nguy cơ đồng đều cho các phân nhóm lo âu mang tính nhận thức – đánh giá (tổng quát, xã hội) nhưng không khuếch đại cho phân nhóm dựa trên gắn bó (chia ly), gợi ý các cơ chế phát triển và văn hóa khác biệt giữa các vùng lo âu.</w:t>
      </w:r>
    </w:p>
    <w:p>
      <w:pPr>
        <w:spacing w:before="60" w:after="60" w:line="276" w:lineRule="auto"/>
        <w:ind w:firstLine="567"/>
        <w:jc w:val="both"/>
      </w:pPr>
      <w:r>
        <w:rPr>
          <w:rFonts w:ascii="Times New Roman" w:hAnsi="Times New Roman" w:eastAsia="Times New Roman"/>
          <w:sz w:val="24"/>
        </w:rPr>
        <w:t>Hàm ý thực tiễn. Nhìn chung, thiết kế can thiệp theo phân nhóm là hàm ý trực tiếp — Các chương trình nhắm lo âu chia ly ở học sinh trung học cơ sở Việt Nam nên ưu tiên thành phần chống bắt nạt, trong khi các chương trình nhắm lo âu tổng quát và lo âu xã hội nên ưu tiên quản lý áp lực học tập và tăng cường lòng tự trọng. Đào tạo kỹ năng đối phó phổ quát có thể hữu ích nhưng nên được thiết kế với ý thức về nguy cơ leo thang hai chiều được nhận diện ở đây. Triển khai phân tầng theo giới có thể phù hợp cho lo âu tổng quát và lo âu xã hội nhưng không cho lo âu chia ly.</w:t>
      </w:r>
    </w:p>
    <w:p>
      <w:pPr>
        <w:spacing w:before="60" w:after="60" w:line="276" w:lineRule="auto"/>
        <w:ind w:firstLine="567"/>
        <w:jc w:val="both"/>
      </w:pPr>
      <w:r>
        <w:rPr>
          <w:rFonts w:ascii="Times New Roman" w:hAnsi="Times New Roman" w:eastAsia="Times New Roman"/>
          <w:sz w:val="24"/>
        </w:rPr>
        <w:t>Điểm mạnh và hạn chế. Điểm mạnh bao gồm cỡ mẫu lớn, các công cụ DSM-5 đã được kiểm định đặc thù cho vị thành niên Việt Nam, và việc báo cáo minh bạch mức phù hợp mô hình kể cả khi không đạt ngưỡng thông thường. Hạn chế gồm thiết kế cắt ngang, hạn chế suy luận nhân quả; phạm vi địa lý của mẫu tập trung ở phía Bắc Việt Nam, hạn chế khái quát hóa cho các vùng khác và nhóm dân tộc thiểu số; và bản chất tự báo cáo của mọi công cụ đo, dễ chịu phương sai phương pháp chung. Tính thăm dò của đường đối phó kém thích nghi cũng cần được nhấn mạnh lại.</w:t>
      </w:r>
    </w:p>
    <w:p>
      <w:pPr>
        <w:spacing w:before="60" w:after="60" w:line="276" w:lineRule="auto"/>
        <w:ind w:firstLine="567"/>
        <w:jc w:val="both"/>
      </w:pPr>
      <w:r>
        <w:rPr>
          <w:rFonts w:ascii="Times New Roman" w:hAnsi="Times New Roman" w:eastAsia="Times New Roman"/>
          <w:sz w:val="24"/>
        </w:rPr>
        <w:t>Hướng nghiên cứu tiếp theo. Ba ưu tiên nổi lên. Thứ nhất, các cohort dọc đa tỉnh là cần thiết để kiểm định hướng nhân quả và động học cross-lagged giữa đối phó, lòng tự trọng và lo âu. Thứ hai, công trình dân tộc học và định tính về quan hệ cha mẹ – vị thành niên Việt Nam sẽ giúp diễn giải đường hỗ trợ cha mẹ bằng không cho lo âu chia ly. Thứ ba, các thử nghiệm lâm sàng ngẫu nhiên các thành phần can thiệp theo phân nhóm, dựa trên phát hiện đường dẫn hiện tại, sẽ chuyển kết quả này thành thực hành sức khỏe tâm thần học đường dựa trên bằng chứng.</w:t>
      </w:r>
    </w:p>
    <w:p>
      <w:pPr>
        <w:spacing w:before="60" w:after="60" w:line="276" w:lineRule="auto"/>
        <w:ind w:firstLine="567"/>
        <w:jc w:val="both"/>
      </w:pPr>
      <w:r>
        <w:rPr>
          <w:rFonts w:ascii="Times New Roman" w:hAnsi="Times New Roman" w:eastAsia="Times New Roman"/>
          <w:sz w:val="24"/>
        </w:rPr>
        <w:t>Liên hệ với bằng chứng can thiệp. Các phát hiện đường dẫn báo cáo ở đây có thể được chuyển thành các lựa chọn thiết kế can thiệp cụ thể dưới ánh sáng của các phân tích tổng hợp can thiệp gần đây. Phân tích mạng lưới của Xian và cộng sự (2024) xếp CBT qua internet đứng hạng nhất trong chín liệu pháp tâm lý cho lo âu xã hội vị thành niên, phù hợp với đường lòng tự trọng – lo âu xã hội mạnh được nhận diện ở đây, vì lòng tự trọng là mục tiêu CBT đã được xác lập. Phân tích tổng hợp trường học của Cai và cộng sự (2025) ghi nhận hiệu ứng nhỏ nhưng đáng tin cậy của các chương trình kiên cường trường học lên triệu chứng nội tâm; phát hiện của chúng tôi rằng đối phó kém thích nghi có liên hệ hai chiều với lo âu phù hợp với độ lớn vừa phải của các can thiệp trường học phổ quát và gợi ý rằng phòng ngừa chỉ định nhắm mục tiêu có thể cho hiệu ứng lớn hơn.</w:t>
      </w:r>
    </w:p>
    <w:p>
      <w:pPr>
        <w:spacing w:before="60" w:after="60" w:line="276" w:lineRule="auto"/>
        <w:ind w:firstLine="567"/>
        <w:jc w:val="both"/>
      </w:pPr>
      <w:r>
        <w:rPr>
          <w:rFonts w:ascii="Times New Roman" w:hAnsi="Times New Roman" w:eastAsia="Times New Roman"/>
          <w:sz w:val="24"/>
        </w:rPr>
        <w:t>Đóng góp lý thuyết. Ba đóng góp lý thuyết nổi lên. Thứ nhất, việc ghi nhận đường bắt nạt – chia ly mạnh hơn đáng kể so với các đường bắt nạt – tổng quát hoặc bắt nạt – xã hội bổ sung một chiều đặc thù phân nhóm vào y văn lâu năm về bắt nạt – lo âu vốn xem lo âu như kết cục đơn nhất. Thứ hai, đường hỗ trợ cha mẹ bằng không cho lo âu chia ly cung cấp bằng chứng thực nghiệm cho giả thuyết hiệu ứng trần trong hệ thống gia đình tập thể, và thúc đẩy công trình tiếp theo về động học hai chiều và phát triển của quan hệ cha mẹ – vị thành niên trong các bối cảnh như vậy. Thứ ba, độ lớn vượt trội của lòng tự trọng ở vị thành niên Việt Nam so với ước lượng phân tích tổng hợp toàn cầu phù hợp với dự đoán khuếch đại văn hóa.</w:t>
      </w:r>
    </w:p>
    <w:p>
      <w:pPr>
        <w:spacing w:before="60" w:after="60" w:line="276" w:lineRule="auto"/>
        <w:ind w:firstLine="567"/>
        <w:jc w:val="both"/>
      </w:pPr>
      <w:r>
        <w:rPr>
          <w:rFonts w:ascii="Times New Roman" w:hAnsi="Times New Roman" w:eastAsia="Times New Roman"/>
          <w:sz w:val="24"/>
        </w:rPr>
        <w:t>Khả năng khái quát hóa. Mẫu hiện tại, mặc dù lớn và có cơ sở phương pháp luận, tập trung địa lý ở phía Bắc Việt Nam và có đại diện hạn chế của học sinh dân tộc thiểu số. Sự lặp lại ở phía Nam Việt Nam, ở khu vực miền núi và dân tộc thiểu số, và ở các mẫu nông thôn sẽ cần thiết trước khi các khái quát suy luận mạnh cho dân số vị thành niên Việt Nam rộng hơn được biện minh. Sự lặp lại xuyên quốc gia ở các xã hội di sản Khổng giáo khác (như Hàn Quốc, Đài Loan, một phần Trung Quốc phía Nam) sẽ tiếp tục kiểm định giả thuyết điều tiết văn hóa.</w:t>
      </w:r>
    </w:p>
    <w:p>
      <w:pPr>
        <w:spacing w:before="240" w:after="120" w:line="276" w:lineRule="auto"/>
      </w:pPr>
      <w:r>
        <w:rPr>
          <w:rFonts w:ascii="Times New Roman" w:hAnsi="Times New Roman" w:eastAsia="Times New Roman"/>
          <w:b/>
          <w:sz w:val="26"/>
        </w:rPr>
        <w:t>5. Kết luận</w:t>
      </w:r>
    </w:p>
    <w:p>
      <w:pPr>
        <w:spacing w:before="60" w:after="60" w:line="276" w:lineRule="auto"/>
        <w:ind w:firstLine="567"/>
        <w:jc w:val="both"/>
      </w:pPr>
      <w:r>
        <w:rPr>
          <w:rFonts w:ascii="Times New Roman" w:hAnsi="Times New Roman" w:eastAsia="Times New Roman"/>
          <w:sz w:val="24"/>
        </w:rPr>
        <w:t>Nghiên cứu mô hình cấu trúc tuyến tính trên 1.352 học sinh trung học cơ sở Việt Nam ghi nhận ba phát hiện đặc thù văn hóa: một đường dẫn mạnh từ bắt nạt đến lo âu chia ly phù hợp cơ chế từ chối đi học; một đường dẫn bằng không từ hỗ trợ cha mẹ đến lo âu chia ly tương phản với bằng chứng phương Tây; và cường độ của lòng tự trọng như một yếu tố bảo vệ ngang với áp lực học tập như một yếu tố nguy cơ. Cùng với một pattern giới ba tầng xuyên các phân nhóm lo âu, các phát hiện này cho thấy đường dẫn từ yếu tố nguy cơ học đường đến phân nhóm lo âu không đồng nhất về văn hóa và đòi hỏi thiết kế can thiệp theo phân nhóm trong bối cảnh tập thể châu Á.</w:t>
      </w:r>
    </w:p>
    <w:p>
      <w:pPr>
        <w:spacing w:before="240" w:after="120" w:line="276" w:lineRule="auto"/>
      </w:pPr>
      <w:r>
        <w:rPr>
          <w:rFonts w:ascii="Times New Roman" w:hAnsi="Times New Roman" w:eastAsia="Times New Roman"/>
          <w:b/>
          <w:sz w:val="26"/>
        </w:rPr>
        <w:t>Tài liệu tham khảo</w:t>
      </w:r>
    </w:p>
    <w:p>
      <w:pPr>
        <w:spacing w:before="40" w:after="40" w:line="264" w:lineRule="auto"/>
        <w:ind w:left="567" w:hanging="567"/>
      </w:pPr>
      <w:r>
        <w:rPr>
          <w:rFonts w:ascii="Times New Roman" w:hAnsi="Times New Roman" w:eastAsia="Times New Roman"/>
          <w:sz w:val="24"/>
        </w:rPr>
        <w:t>American Psychiatric Association. (2013). Diagnostic and statistical manual of mental disorders (5th ed.). American Psychiatric Publishing.</w:t>
      </w:r>
    </w:p>
    <w:p>
      <w:pPr>
        <w:spacing w:before="40" w:after="40" w:line="264" w:lineRule="auto"/>
        <w:ind w:left="567" w:hanging="567"/>
      </w:pPr>
      <w:r>
        <w:rPr>
          <w:rFonts w:ascii="Times New Roman" w:hAnsi="Times New Roman" w:eastAsia="Times New Roman"/>
          <w:sz w:val="24"/>
        </w:rPr>
        <w:t>Beck, A. T. (1976). Cognitive therapy and the emotional disorders. International Universities Press.</w:t>
      </w:r>
    </w:p>
    <w:p>
      <w:pPr>
        <w:spacing w:before="40" w:after="40" w:line="264" w:lineRule="auto"/>
        <w:ind w:left="567" w:hanging="567"/>
      </w:pPr>
      <w:r>
        <w:rPr>
          <w:rFonts w:ascii="Times New Roman" w:hAnsi="Times New Roman" w:eastAsia="Times New Roman"/>
          <w:sz w:val="24"/>
        </w:rPr>
        <w:t>Bie, F., Yan, X., Xing, J., Wang, L., Xu, Y., Wang, G., Wang, Q., Guo, J., Qiao, J., &amp; Rao, Z. (2024). Rising global burden of anxiety disorders among adolescents and young adults: Trends, risk factors, and the impact of socioeconomic disparities and COVID-19 from 1990 to 2021. Frontiers in Psychiatry, 15, Article 1489427. https://doi.org/10.3389/fpsyt.2024.1489427</w:t>
      </w:r>
    </w:p>
    <w:p>
      <w:r>
        <w:rPr>
          <w:rFonts w:ascii="Times New Roman" w:hAnsi="Times New Roman"/>
          <w:sz w:val="24"/>
        </w:rPr>
        <w:t>Cai, C., Mei, Z., Wang, Z., &amp; Luo, S. (2025). School-based interventions for resilience in children and adolescents: A systematic review and meta-analysis of randomized controlled trials. Frontiers in Psychiatry, 16, Article 1594658. https://doi.org/10.3389/fpsyt.2025.1594658</w:t>
      </w:r>
    </w:p>
    <w:p>
      <w:pPr>
        <w:spacing w:before="40" w:after="40" w:line="264" w:lineRule="auto"/>
        <w:ind w:left="567" w:hanging="567"/>
      </w:pPr>
      <w:r>
        <w:rPr>
          <w:rFonts w:ascii="Times New Roman" w:hAnsi="Times New Roman" w:eastAsia="Times New Roman"/>
          <w:sz w:val="24"/>
        </w:rPr>
        <w:t>Carver, C. S. (1997). You want to measure coping but your protocol's too long: Consider the Brief COPE. International Journal of Behavioral Medicine, 4(1), 92–100.</w:t>
      </w:r>
    </w:p>
    <w:p>
      <w:pPr>
        <w:spacing w:before="40" w:after="40" w:line="264" w:lineRule="auto"/>
        <w:ind w:left="567" w:hanging="567"/>
      </w:pPr>
      <w:r>
        <w:rPr>
          <w:rFonts w:ascii="Times New Roman" w:hAnsi="Times New Roman" w:eastAsia="Times New Roman"/>
          <w:sz w:val="24"/>
        </w:rPr>
        <w:t>Chen, Z., Ren, S., He, R., Liang, Y., Tan, Y., Liu, Y., Wang, F., Shao, X., Chen, S., Liao, Y., He, Y., Li, J.-G., Chen, X., &amp; Tang, J. (2023). Prevalence and associated factors of depressive and anxiety symptoms among Chinese secondary school students. BMC Psychiatry, 23, Article 580. https://doi.org/10.1186/s12888-023-05068-1</w:t>
      </w:r>
    </w:p>
    <w:p>
      <w:pPr>
        <w:spacing w:before="40" w:after="40" w:line="264" w:lineRule="auto"/>
        <w:ind w:left="567" w:hanging="567"/>
      </w:pPr>
      <w:r>
        <w:rPr>
          <w:rFonts w:ascii="Times New Roman" w:hAnsi="Times New Roman" w:eastAsia="Times New Roman"/>
          <w:sz w:val="24"/>
        </w:rPr>
        <w:t>Cohen, J. (1988). Statistical power analysis for the behavioral sciences (2nd ed.). Lawrence Erlbaum.</w:t>
      </w:r>
    </w:p>
    <w:p>
      <w:pPr>
        <w:spacing w:before="40" w:after="40" w:line="264" w:lineRule="auto"/>
        <w:ind w:left="567" w:hanging="567"/>
      </w:pPr>
      <w:r>
        <w:rPr>
          <w:rFonts w:ascii="Times New Roman" w:hAnsi="Times New Roman" w:eastAsia="Times New Roman"/>
          <w:sz w:val="24"/>
        </w:rPr>
        <w:t>Compas, B. E., Jaser, S. S., Bettis, A. H., Watson, K. H., Gruhn, M. A., Dunbar, J. P., Williams, E., &amp; Thigpen, J. C. (2017). Coping, emotion regulation, and psychopathology in childhood and adolescence: A meta-analysis and narrative review. Psychological Bulletin, 143(9), 939–991.</w:t>
      </w:r>
    </w:p>
    <w:p>
      <w:pPr>
        <w:spacing w:before="40" w:after="40" w:line="264" w:lineRule="auto"/>
        <w:ind w:left="567" w:hanging="567"/>
      </w:pPr>
      <w:r>
        <w:rPr>
          <w:rFonts w:ascii="Times New Roman" w:hAnsi="Times New Roman" w:eastAsia="Times New Roman"/>
          <w:sz w:val="24"/>
        </w:rPr>
        <w:t>Công, T. H., &amp; Đào, M. Đ. (2026). Psychometric validation of DSM-5 anxiety severity scales in Vietnamese junior secondary school students. Vietnam Journal of Psychology, 2, in press.</w:t>
      </w:r>
    </w:p>
    <w:p>
      <w:pPr>
        <w:spacing w:before="40" w:after="40" w:line="264" w:lineRule="auto"/>
        <w:ind w:left="567" w:hanging="567"/>
      </w:pPr>
      <w:r>
        <w:rPr>
          <w:rFonts w:ascii="Times New Roman" w:hAnsi="Times New Roman" w:eastAsia="Times New Roman"/>
          <w:sz w:val="24"/>
        </w:rPr>
        <w:t>Trúc Thanh Thái, Võ Lê Hồng Tuyết, Nguyễn Thị Trang, Đinh Văn Ngôn, Mai Lê Xuân, Trần Thị Hoài Thương, Nguyễn Thị Ngọc Bích, Huỳnh Mai Khánh Hà, Nguyễn Thị Thu An, Bùi Thị Hy Hân, &amp; Dương Minh Cường. (2026). Unmasking the burden of mental health symptoms and risk behaviors in Vietnamese adolescents: Evidence from a multicenter cross-sectional study involving 2,631 high school students. Social Psychiatry and Psychiatric Epidemiology. Xuất bản trực tuyến trước. https://doi.org/10.1007/s00127-025-03043-7</w:t>
      </w:r>
    </w:p>
    <w:p>
      <w:pPr>
        <w:spacing w:before="40" w:after="40" w:line="264" w:lineRule="auto"/>
        <w:ind w:left="567" w:hanging="567"/>
      </w:pPr>
      <w:r>
        <w:rPr>
          <w:rFonts w:ascii="Times New Roman" w:hAnsi="Times New Roman" w:eastAsia="Times New Roman"/>
          <w:sz w:val="24"/>
        </w:rPr>
        <w:t>Goodenow, C. (1993). The Psychological Sense of School Membership among adolescents: Scale development and educational correlates. Psychology in the Schools, 30(1), 79–90.</w:t>
      </w:r>
    </w:p>
    <w:p>
      <w:pPr>
        <w:spacing w:before="40" w:after="40" w:line="264" w:lineRule="auto"/>
        <w:ind w:left="567" w:hanging="567"/>
      </w:pPr>
      <w:r>
        <w:rPr>
          <w:rFonts w:ascii="Times New Roman" w:hAnsi="Times New Roman" w:eastAsia="Times New Roman"/>
          <w:sz w:val="24"/>
        </w:rPr>
        <w:t>Hoàng Trung Học, &amp; Nguyễn Thùy Dung. (2025). Levels of stress, anxiety, and depression in adolescents during and after the COVID-19 pandemic in Vietnam: A cross-sectional study. American Journal of Psychiatric Rehabilitation, 28(1), 360–367. https://doi.org/10.69980/ajpr.v28i1.105</w:t>
      </w:r>
    </w:p>
    <w:p>
      <w:pPr>
        <w:spacing w:before="40" w:after="40" w:line="264" w:lineRule="auto"/>
        <w:ind w:left="567" w:hanging="567"/>
      </w:pPr>
      <w:r>
        <w:rPr>
          <w:rFonts w:ascii="Times New Roman" w:hAnsi="Times New Roman" w:eastAsia="Times New Roman"/>
          <w:sz w:val="24"/>
        </w:rPr>
        <w:t>Hu, L., &amp; Bentler, P. M. (1999). Cutoff criteria for fit indexes in covariance structure analysis: Conventional criteria versus new alternatives. Structural Equation Modeling, 6(1), 1–55.</w:t>
      </w:r>
    </w:p>
    <w:p>
      <w:pPr>
        <w:spacing w:before="40" w:after="40" w:line="264" w:lineRule="auto"/>
        <w:ind w:left="567" w:hanging="567"/>
      </w:pPr>
      <w:r>
        <w:rPr>
          <w:rFonts w:ascii="Times New Roman" w:hAnsi="Times New Roman" w:eastAsia="Times New Roman"/>
          <w:sz w:val="24"/>
        </w:rPr>
        <w:t>Moore, S. E., Norman, R. E., Suetani, S., Thomas, H. J., Sly, P. D., &amp; Scott, J. G. (2017). Consequences of bullying victimization in childhood and adolescence: A systematic review and meta-analysis. World Journal of Psychiatry, 7(1), 60–76.</w:t>
      </w:r>
    </w:p>
    <w:p>
      <w:pPr>
        <w:spacing w:before="40" w:after="40" w:line="264" w:lineRule="auto"/>
        <w:ind w:left="567" w:hanging="567"/>
      </w:pPr>
      <w:r>
        <w:rPr>
          <w:rFonts w:ascii="Times New Roman" w:hAnsi="Times New Roman" w:eastAsia="Times New Roman"/>
          <w:sz w:val="24"/>
        </w:rPr>
        <w:t>Olweus, D. (1996). The revised Olweus Bully/Victim Questionnaire. Research Centre for Health Promotion, University of Bergen.</w:t>
      </w:r>
    </w:p>
    <w:p>
      <w:pPr>
        <w:spacing w:before="40" w:after="40" w:line="264" w:lineRule="auto"/>
        <w:ind w:left="567" w:hanging="567"/>
      </w:pPr>
      <w:r>
        <w:rPr>
          <w:rFonts w:ascii="Times New Roman" w:hAnsi="Times New Roman" w:eastAsia="Times New Roman"/>
          <w:sz w:val="24"/>
        </w:rPr>
        <w:t>Pascoe, M. C., Hetrick, S. E., &amp; Parker, A. G. (2020). The impact of stress on students in secondary school and higher education. International Journal of Adolescence and Youth, 25(1), 104–112.</w:t>
      </w:r>
    </w:p>
    <w:p>
      <w:pPr>
        <w:spacing w:before="40" w:after="40" w:line="264" w:lineRule="auto"/>
        <w:ind w:left="567" w:hanging="567"/>
      </w:pPr>
      <w:r>
        <w:rPr>
          <w:rFonts w:ascii="Times New Roman" w:hAnsi="Times New Roman" w:eastAsia="Times New Roman"/>
          <w:sz w:val="24"/>
        </w:rPr>
        <w:t>Rosenberg, M. (1965). Society and the adolescent self-image. Princeton University Press.</w:t>
      </w:r>
    </w:p>
    <w:p>
      <w:pPr>
        <w:spacing w:before="40" w:after="40" w:line="264" w:lineRule="auto"/>
        <w:ind w:left="567" w:hanging="567"/>
      </w:pPr>
      <w:r>
        <w:rPr>
          <w:rFonts w:ascii="Times New Roman" w:hAnsi="Times New Roman" w:eastAsia="Times New Roman"/>
          <w:sz w:val="24"/>
        </w:rPr>
        <w:t>Salk, R. H., Hyde, J. S., &amp; Abramson, L. Y. (2017). Gender differences in depression in representative national samples: Meta-analyses of diagnoses and symptoms. Psychological Bulletin, 143(8), 783–822.</w:t>
      </w:r>
    </w:p>
    <w:p>
      <w:pPr>
        <w:spacing w:before="40" w:after="40" w:line="264" w:lineRule="auto"/>
        <w:ind w:left="567" w:hanging="567"/>
      </w:pPr>
      <w:r>
        <w:rPr>
          <w:rFonts w:ascii="Times New Roman" w:hAnsi="Times New Roman" w:eastAsia="Times New Roman"/>
          <w:sz w:val="24"/>
        </w:rPr>
        <w:t>Sowislo, J. F., &amp; Orth, U. (2013). Does low self-esteem predict depression and anxiety? A meta-analysis of longitudinal studies. Psychological Bulletin, 139(1), 213–240.</w:t>
      </w:r>
    </w:p>
    <w:p>
      <w:pPr>
        <w:spacing w:before="40" w:after="40" w:line="264" w:lineRule="auto"/>
        <w:ind w:left="567" w:hanging="567"/>
      </w:pPr>
      <w:r>
        <w:rPr>
          <w:rFonts w:ascii="Times New Roman" w:hAnsi="Times New Roman" w:eastAsia="Times New Roman"/>
          <w:sz w:val="24"/>
        </w:rPr>
        <w:t>Sun, J., Dunne, M. P., Hou, X.-Y., &amp; Xu, A.-Q. (2011). Educational stress scale for adolescents: Development, validity, and reliability with Chinese students. Journal of Psychoeducational Assessment, 29(6), 534–546.</w:t>
      </w:r>
    </w:p>
    <w:p>
      <w:pPr>
        <w:spacing w:before="40" w:after="40" w:line="264" w:lineRule="auto"/>
        <w:ind w:left="567" w:hanging="567"/>
      </w:pPr>
      <w:r>
        <w:rPr>
          <w:rFonts w:ascii="Times New Roman" w:hAnsi="Times New Roman" w:eastAsia="Times New Roman"/>
          <w:sz w:val="24"/>
        </w:rPr>
        <w:t>Viện Xã hội học, Đại học Queensland, &amp; Đại học Johns Hopkins. (2022). Viet Nam adolescent mental health survey (V-NAMHS): Report on main findings. Viện Xã hội học.</w:t>
      </w:r>
    </w:p>
    <w:p>
      <w:r>
        <w:rPr>
          <w:rFonts w:ascii="Times New Roman" w:hAnsi="Times New Roman"/>
          <w:sz w:val="24"/>
        </w:rPr>
        <w:t>Xian, J., Zhang, Y., &amp; Jiang, B. (2024). Psychological interventions for social anxiety disorder in children and adolescents: A systematic review and network meta-analysis. Journal of Affective Disorders, 365, 614–627. https://doi.org/10.1016/j.jad.2024.08.097</w:t>
      </w:r>
    </w:p>
    <w:p>
      <w:pPr>
        <w:spacing w:before="40" w:after="40" w:line="264" w:lineRule="auto"/>
        <w:ind w:left="567" w:hanging="567"/>
      </w:pPr>
      <w:r>
        <w:rPr>
          <w:rFonts w:ascii="Times New Roman" w:hAnsi="Times New Roman" w:eastAsia="Times New Roman"/>
          <w:sz w:val="24"/>
        </w:rPr>
        <w:t>Zimet, G. D., Dahlem, N. W., Zimet, S. G., &amp; Farley, G. K. (1988). The Multidimensional Scale of Perceived Social Support. Journal of Personality Assessment, 52(1), 30–41.</w:t>
      </w:r>
    </w:p>
    <w:p>
      <w:pPr>
        <w:spacing w:before="280" w:after="120" w:line="276" w:lineRule="auto"/>
      </w:pPr>
      <w:r>
        <w:rPr>
          <w:rFonts w:ascii="Times New Roman" w:hAnsi="Times New Roman" w:eastAsia="Times New Roman"/>
          <w:b/>
          <w:sz w:val="26"/>
        </w:rPr>
        <w:t>Phụ lục — Giải thích ý nghĩa số liệu thống kê (gửi nhóm phân tích SPSS)</w:t>
      </w:r>
    </w:p>
    <w:p>
      <w:pPr>
        <w:spacing w:before="60" w:after="60" w:line="276" w:lineRule="auto"/>
        <w:ind w:firstLine="283"/>
        <w:jc w:val="both"/>
      </w:pPr>
      <w:r>
        <w:rPr>
          <w:rFonts w:ascii="Times New Roman" w:hAnsi="Times New Roman" w:eastAsia="Times New Roman"/>
          <w:sz w:val="24"/>
        </w:rPr>
        <w:t>Phụ lục này giải thích ý nghĩa của tất cả các chỉ số thống kê được báo cáo trong bài, phục vụ trao đổi với nhóm phân tích dữ liệu (SPSS/R/Mplus). Mỗi mục đi kèm: (a) ý nghĩa khái niệm; (b) cách diễn giải; (c) ngưỡng tham chiếu; (d) ví dụ từ kết quả của bài.</w:t>
      </w:r>
    </w:p>
    <w:p>
      <w:pPr>
        <w:spacing w:before="160" w:after="80" w:line="276" w:lineRule="auto"/>
      </w:pPr>
      <w:r>
        <w:rPr>
          <w:rFonts w:ascii="Times New Roman" w:hAnsi="Times New Roman" w:eastAsia="Times New Roman"/>
          <w:b/>
          <w:i/>
          <w:sz w:val="24"/>
        </w:rPr>
        <w:t>1. Hệ số β (beta) chuẩn hóa trong mô hình SEM</w:t>
      </w:r>
    </w:p>
    <w:p>
      <w:pPr>
        <w:spacing w:before="60" w:after="60" w:line="276" w:lineRule="auto"/>
        <w:ind w:firstLine="283"/>
        <w:jc w:val="both"/>
      </w:pPr>
      <w:r>
        <w:rPr>
          <w:rFonts w:ascii="Times New Roman" w:hAnsi="Times New Roman" w:eastAsia="Times New Roman"/>
          <w:sz w:val="24"/>
        </w:rPr>
        <w:t>Ý nghĩa: β chuẩn hóa (standardized regression coefficient) biểu thị mức thay đổi trung bình của biến phụ thuộc (tính bằng độ lệch chuẩn) khi biến độc lập thay đổi một độ lệch chuẩn, sau khi các biến khác trong mô hình được kiểm soát. β nằm trong khoảng từ −1 đến +1.</w:t>
      </w:r>
    </w:p>
    <w:p>
      <w:pPr>
        <w:spacing w:before="60" w:after="60" w:line="276" w:lineRule="auto"/>
        <w:ind w:firstLine="283"/>
      </w:pPr>
      <w:r>
        <w:rPr>
          <w:rFonts w:ascii="Times New Roman" w:hAnsi="Times New Roman" w:eastAsia="Times New Roman"/>
          <w:b/>
          <w:sz w:val="24"/>
        </w:rPr>
        <w:t>Cách diễn giải:</w:t>
      </w:r>
    </w:p>
    <w:tbl>
      <w:tblPr>
        <w:tblStyle w:val="LightGrid"/>
        <w:tblW w:type="auto" w:w="0"/>
        <w:tblLook w:firstColumn="1" w:firstRow="1" w:lastColumn="0" w:lastRow="0" w:noHBand="0" w:noVBand="1" w:val="04A0"/>
      </w:tblPr>
      <w:tblGrid>
        <w:gridCol w:w="3230"/>
        <w:gridCol w:w="3230"/>
        <w:gridCol w:w="3230"/>
      </w:tblGrid>
      <w:tr>
        <w:tc>
          <w:tcPr>
            <w:tcW w:type="dxa" w:w="3230"/>
          </w:tcPr>
          <w:p>
            <w:r/>
            <w:r>
              <w:rPr>
                <w:rFonts w:ascii="Times New Roman" w:hAnsi="Times New Roman" w:eastAsia="Times New Roman"/>
                <w:b/>
                <w:sz w:val="22"/>
              </w:rPr>
              <w:t>|β|</w:t>
            </w:r>
          </w:p>
        </w:tc>
        <w:tc>
          <w:tcPr>
            <w:tcW w:type="dxa" w:w="3230"/>
          </w:tcPr>
          <w:p>
            <w:r/>
            <w:r>
              <w:rPr>
                <w:rFonts w:ascii="Times New Roman" w:hAnsi="Times New Roman" w:eastAsia="Times New Roman"/>
                <w:b/>
                <w:sz w:val="22"/>
              </w:rPr>
              <w:t>Diễn giải</w:t>
            </w:r>
          </w:p>
        </w:tc>
        <w:tc>
          <w:tcPr>
            <w:tcW w:type="dxa" w:w="3230"/>
          </w:tcPr>
          <w:p>
            <w:r/>
            <w:r>
              <w:rPr>
                <w:rFonts w:ascii="Times New Roman" w:hAnsi="Times New Roman" w:eastAsia="Times New Roman"/>
                <w:b/>
                <w:sz w:val="22"/>
              </w:rPr>
              <w:t>Ý nghĩa thực tiễn</w:t>
            </w:r>
          </w:p>
        </w:tc>
      </w:tr>
      <w:tr>
        <w:tc>
          <w:tcPr>
            <w:tcW w:type="dxa" w:w="3230"/>
          </w:tcPr>
          <w:p>
            <w:r/>
            <w:r>
              <w:rPr>
                <w:rFonts w:ascii="Times New Roman" w:hAnsi="Times New Roman" w:eastAsia="Times New Roman"/>
                <w:sz w:val="22"/>
              </w:rPr>
              <w:t>&lt; 0,10</w:t>
            </w:r>
          </w:p>
        </w:tc>
        <w:tc>
          <w:tcPr>
            <w:tcW w:type="dxa" w:w="3230"/>
          </w:tcPr>
          <w:p>
            <w:r/>
            <w:r>
              <w:rPr>
                <w:rFonts w:ascii="Times New Roman" w:hAnsi="Times New Roman" w:eastAsia="Times New Roman"/>
                <w:sz w:val="22"/>
              </w:rPr>
              <w:t>Rất nhỏ</w:t>
            </w:r>
          </w:p>
        </w:tc>
        <w:tc>
          <w:tcPr>
            <w:tcW w:type="dxa" w:w="3230"/>
          </w:tcPr>
          <w:p>
            <w:r/>
            <w:r>
              <w:rPr>
                <w:rFonts w:ascii="Times New Roman" w:hAnsi="Times New Roman" w:eastAsia="Times New Roman"/>
                <w:sz w:val="22"/>
              </w:rPr>
              <w:t>Hầu như không có hiệu ứng</w:t>
            </w:r>
          </w:p>
        </w:tc>
      </w:tr>
      <w:tr>
        <w:tc>
          <w:tcPr>
            <w:tcW w:type="dxa" w:w="3230"/>
          </w:tcPr>
          <w:p>
            <w:r/>
            <w:r>
              <w:rPr>
                <w:rFonts w:ascii="Times New Roman" w:hAnsi="Times New Roman" w:eastAsia="Times New Roman"/>
                <w:sz w:val="22"/>
              </w:rPr>
              <w:t>0,10 – 0,29</w:t>
            </w:r>
          </w:p>
        </w:tc>
        <w:tc>
          <w:tcPr>
            <w:tcW w:type="dxa" w:w="3230"/>
          </w:tcPr>
          <w:p>
            <w:r/>
            <w:r>
              <w:rPr>
                <w:rFonts w:ascii="Times New Roman" w:hAnsi="Times New Roman" w:eastAsia="Times New Roman"/>
                <w:sz w:val="22"/>
              </w:rPr>
              <w:t>Nhỏ</w:t>
            </w:r>
          </w:p>
        </w:tc>
        <w:tc>
          <w:tcPr>
            <w:tcW w:type="dxa" w:w="3230"/>
          </w:tcPr>
          <w:p>
            <w:r/>
            <w:r>
              <w:rPr>
                <w:rFonts w:ascii="Times New Roman" w:hAnsi="Times New Roman" w:eastAsia="Times New Roman"/>
                <w:sz w:val="22"/>
              </w:rPr>
              <w:t>Có hiệu ứng nhưng yếu</w:t>
            </w:r>
          </w:p>
        </w:tc>
      </w:tr>
      <w:tr>
        <w:tc>
          <w:tcPr>
            <w:tcW w:type="dxa" w:w="3230"/>
          </w:tcPr>
          <w:p>
            <w:r/>
            <w:r>
              <w:rPr>
                <w:rFonts w:ascii="Times New Roman" w:hAnsi="Times New Roman" w:eastAsia="Times New Roman"/>
                <w:sz w:val="22"/>
              </w:rPr>
              <w:t>0,30 – 0,49</w:t>
            </w:r>
          </w:p>
        </w:tc>
        <w:tc>
          <w:tcPr>
            <w:tcW w:type="dxa" w:w="3230"/>
          </w:tcPr>
          <w:p>
            <w:r/>
            <w:r>
              <w:rPr>
                <w:rFonts w:ascii="Times New Roman" w:hAnsi="Times New Roman" w:eastAsia="Times New Roman"/>
                <w:sz w:val="22"/>
              </w:rPr>
              <w:t>Trung bình</w:t>
            </w:r>
          </w:p>
        </w:tc>
        <w:tc>
          <w:tcPr>
            <w:tcW w:type="dxa" w:w="3230"/>
          </w:tcPr>
          <w:p>
            <w:r/>
            <w:r>
              <w:rPr>
                <w:rFonts w:ascii="Times New Roman" w:hAnsi="Times New Roman" w:eastAsia="Times New Roman"/>
                <w:sz w:val="22"/>
              </w:rPr>
              <w:t>Hiệu ứng đáng kể về mặt thực tiễn</w:t>
            </w:r>
          </w:p>
        </w:tc>
      </w:tr>
      <w:tr>
        <w:tc>
          <w:tcPr>
            <w:tcW w:type="dxa" w:w="3230"/>
          </w:tcPr>
          <w:p>
            <w:r/>
            <w:r>
              <w:rPr>
                <w:rFonts w:ascii="Times New Roman" w:hAnsi="Times New Roman" w:eastAsia="Times New Roman"/>
                <w:sz w:val="22"/>
              </w:rPr>
              <w:t>≥ 0,50</w:t>
            </w:r>
          </w:p>
        </w:tc>
        <w:tc>
          <w:tcPr>
            <w:tcW w:type="dxa" w:w="3230"/>
          </w:tcPr>
          <w:p>
            <w:r/>
            <w:r>
              <w:rPr>
                <w:rFonts w:ascii="Times New Roman" w:hAnsi="Times New Roman" w:eastAsia="Times New Roman"/>
                <w:sz w:val="22"/>
              </w:rPr>
              <w:t>Lớn</w:t>
            </w:r>
          </w:p>
        </w:tc>
        <w:tc>
          <w:tcPr>
            <w:tcW w:type="dxa" w:w="3230"/>
          </w:tcPr>
          <w:p>
            <w:r/>
            <w:r>
              <w:rPr>
                <w:rFonts w:ascii="Times New Roman" w:hAnsi="Times New Roman" w:eastAsia="Times New Roman"/>
                <w:sz w:val="22"/>
              </w:rPr>
              <w:t>Hiệu ứng mạnh, có ý nghĩa lâm sàng</w:t>
            </w:r>
          </w:p>
        </w:tc>
      </w:tr>
    </w:tbl>
    <w:p>
      <w:pPr>
        <w:spacing w:before="60" w:after="60" w:line="276" w:lineRule="auto"/>
        <w:ind w:firstLine="283"/>
        <w:jc w:val="both"/>
      </w:pPr>
      <w:r>
        <w:rPr>
          <w:rFonts w:ascii="Times New Roman" w:hAnsi="Times New Roman" w:eastAsia="Times New Roman"/>
          <w:sz w:val="24"/>
        </w:rPr>
        <w:t>Dấu (+/−): β dương cho biết quan hệ thuận (biến độc lập tăng → biến phụ thuộc tăng); β âm cho biết quan hệ nghịch (biến độc lập tăng → biến phụ thuộc giảm). Trong bài, yếu tố bảo vệ thường có β âm (tốt cho học sinh).</w:t>
      </w:r>
    </w:p>
    <w:p>
      <w:pPr>
        <w:spacing w:before="60" w:after="60" w:line="276" w:lineRule="auto"/>
        <w:ind w:firstLine="283"/>
      </w:pPr>
      <w:r>
        <w:rPr>
          <w:rFonts w:ascii="Times New Roman" w:hAnsi="Times New Roman" w:eastAsia="Times New Roman"/>
          <w:b/>
          <w:sz w:val="24"/>
        </w:rPr>
        <w:t>Ví dụ trong bài (sắp theo cường độ):</w:t>
      </w:r>
    </w:p>
    <w:tbl>
      <w:tblPr>
        <w:tblStyle w:val="LightGrid"/>
        <w:tblW w:type="auto" w:w="0"/>
        <w:tblLook w:firstColumn="1" w:firstRow="1" w:lastColumn="0" w:lastRow="0" w:noHBand="0" w:noVBand="1" w:val="04A0"/>
      </w:tblPr>
      <w:tblGrid>
        <w:gridCol w:w="3230"/>
        <w:gridCol w:w="3230"/>
        <w:gridCol w:w="3230"/>
      </w:tblGrid>
      <w:tr>
        <w:tc>
          <w:tcPr>
            <w:tcW w:type="dxa" w:w="3230"/>
          </w:tcPr>
          <w:p>
            <w:r/>
            <w:r>
              <w:rPr>
                <w:rFonts w:ascii="Times New Roman" w:hAnsi="Times New Roman" w:eastAsia="Times New Roman"/>
                <w:b/>
                <w:sz w:val="22"/>
              </w:rPr>
              <w:t>Đường dẫn</w:t>
            </w:r>
          </w:p>
        </w:tc>
        <w:tc>
          <w:tcPr>
            <w:tcW w:type="dxa" w:w="3230"/>
          </w:tcPr>
          <w:p>
            <w:r/>
            <w:r>
              <w:rPr>
                <w:rFonts w:ascii="Times New Roman" w:hAnsi="Times New Roman" w:eastAsia="Times New Roman"/>
                <w:b/>
                <w:sz w:val="22"/>
              </w:rPr>
              <w:t>β</w:t>
            </w:r>
          </w:p>
        </w:tc>
        <w:tc>
          <w:tcPr>
            <w:tcW w:type="dxa" w:w="3230"/>
          </w:tcPr>
          <w:p>
            <w:r/>
            <w:r>
              <w:rPr>
                <w:rFonts w:ascii="Times New Roman" w:hAnsi="Times New Roman" w:eastAsia="Times New Roman"/>
                <w:b/>
                <w:sz w:val="22"/>
              </w:rPr>
              <w:t>Diễn giải</w:t>
            </w:r>
          </w:p>
        </w:tc>
      </w:tr>
      <w:tr>
        <w:tc>
          <w:tcPr>
            <w:tcW w:type="dxa" w:w="3230"/>
          </w:tcPr>
          <w:p>
            <w:r/>
            <w:r>
              <w:rPr>
                <w:rFonts w:ascii="Times New Roman" w:hAnsi="Times New Roman" w:eastAsia="Times New Roman"/>
                <w:sz w:val="22"/>
              </w:rPr>
              <w:t>BPĐP → RLLATQ</w:t>
            </w:r>
          </w:p>
        </w:tc>
        <w:tc>
          <w:tcPr>
            <w:tcW w:type="dxa" w:w="3230"/>
          </w:tcPr>
          <w:p>
            <w:r/>
            <w:r>
              <w:rPr>
                <w:rFonts w:ascii="Times New Roman" w:hAnsi="Times New Roman" w:eastAsia="Times New Roman"/>
                <w:sz w:val="22"/>
              </w:rPr>
              <w:t>0,749</w:t>
            </w:r>
          </w:p>
        </w:tc>
        <w:tc>
          <w:tcPr>
            <w:tcW w:type="dxa" w:w="3230"/>
          </w:tcPr>
          <w:p>
            <w:r/>
            <w:r>
              <w:rPr>
                <w:rFonts w:ascii="Times New Roman" w:hAnsi="Times New Roman" w:eastAsia="Times New Roman"/>
                <w:sz w:val="22"/>
              </w:rPr>
              <w:t>RẤT LỚN dương — biện pháp đối phó kém thích nghi làm tăng mạnh lo âu tổng quát (nhưng fit kém, xem mục 4)</w:t>
            </w:r>
          </w:p>
        </w:tc>
      </w:tr>
      <w:tr>
        <w:tc>
          <w:tcPr>
            <w:tcW w:type="dxa" w:w="3230"/>
          </w:tcPr>
          <w:p>
            <w:r/>
            <w:r>
              <w:rPr>
                <w:rFonts w:ascii="Times New Roman" w:hAnsi="Times New Roman" w:eastAsia="Times New Roman"/>
                <w:sz w:val="22"/>
              </w:rPr>
              <w:t>ALHT → RLLATQ</w:t>
            </w:r>
          </w:p>
        </w:tc>
        <w:tc>
          <w:tcPr>
            <w:tcW w:type="dxa" w:w="3230"/>
          </w:tcPr>
          <w:p>
            <w:r/>
            <w:r>
              <w:rPr>
                <w:rFonts w:ascii="Times New Roman" w:hAnsi="Times New Roman" w:eastAsia="Times New Roman"/>
                <w:sz w:val="22"/>
              </w:rPr>
              <w:t>0,510</w:t>
            </w:r>
          </w:p>
        </w:tc>
        <w:tc>
          <w:tcPr>
            <w:tcW w:type="dxa" w:w="3230"/>
          </w:tcPr>
          <w:p>
            <w:r/>
            <w:r>
              <w:rPr>
                <w:rFonts w:ascii="Times New Roman" w:hAnsi="Times New Roman" w:eastAsia="Times New Roman"/>
                <w:sz w:val="22"/>
              </w:rPr>
              <w:t>LỚN dương — áp lực học tập làm tăng mạnh lo âu tổng quát</w:t>
            </w:r>
          </w:p>
        </w:tc>
      </w:tr>
      <w:tr>
        <w:tc>
          <w:tcPr>
            <w:tcW w:type="dxa" w:w="3230"/>
          </w:tcPr>
          <w:p>
            <w:r/>
            <w:r>
              <w:rPr>
                <w:rFonts w:ascii="Times New Roman" w:hAnsi="Times New Roman" w:eastAsia="Times New Roman"/>
                <w:sz w:val="22"/>
              </w:rPr>
              <w:t>ALHT → RLLAXH</w:t>
            </w:r>
          </w:p>
        </w:tc>
        <w:tc>
          <w:tcPr>
            <w:tcW w:type="dxa" w:w="3230"/>
          </w:tcPr>
          <w:p>
            <w:r/>
            <w:r>
              <w:rPr>
                <w:rFonts w:ascii="Times New Roman" w:hAnsi="Times New Roman" w:eastAsia="Times New Roman"/>
                <w:sz w:val="22"/>
              </w:rPr>
              <w:t>0,490</w:t>
            </w:r>
          </w:p>
        </w:tc>
        <w:tc>
          <w:tcPr>
            <w:tcW w:type="dxa" w:w="3230"/>
          </w:tcPr>
          <w:p>
            <w:r/>
            <w:r>
              <w:rPr>
                <w:rFonts w:ascii="Times New Roman" w:hAnsi="Times New Roman" w:eastAsia="Times New Roman"/>
                <w:sz w:val="22"/>
              </w:rPr>
              <w:t>LỚN dương — áp lực học tập làm tăng mạnh lo âu xã hội</w:t>
            </w:r>
          </w:p>
        </w:tc>
      </w:tr>
      <w:tr>
        <w:tc>
          <w:tcPr>
            <w:tcW w:type="dxa" w:w="3230"/>
          </w:tcPr>
          <w:p>
            <w:r/>
            <w:r>
              <w:rPr>
                <w:rFonts w:ascii="Times New Roman" w:hAnsi="Times New Roman" w:eastAsia="Times New Roman"/>
                <w:sz w:val="22"/>
              </w:rPr>
              <w:t>TTr → RLLATQ</w:t>
            </w:r>
          </w:p>
        </w:tc>
        <w:tc>
          <w:tcPr>
            <w:tcW w:type="dxa" w:w="3230"/>
          </w:tcPr>
          <w:p>
            <w:r/>
            <w:r>
              <w:rPr>
                <w:rFonts w:ascii="Times New Roman" w:hAnsi="Times New Roman" w:eastAsia="Times New Roman"/>
                <w:sz w:val="22"/>
              </w:rPr>
              <w:t>−0,455</w:t>
            </w:r>
          </w:p>
        </w:tc>
        <w:tc>
          <w:tcPr>
            <w:tcW w:type="dxa" w:w="3230"/>
          </w:tcPr>
          <w:p>
            <w:r/>
            <w:r>
              <w:rPr>
                <w:rFonts w:ascii="Times New Roman" w:hAnsi="Times New Roman" w:eastAsia="Times New Roman"/>
                <w:sz w:val="22"/>
              </w:rPr>
              <w:t>LỚN âm — lòng tự trọng cao bảo vệ mạnh khỏi lo âu tổng quát</w:t>
            </w:r>
          </w:p>
        </w:tc>
      </w:tr>
      <w:tr>
        <w:tc>
          <w:tcPr>
            <w:tcW w:type="dxa" w:w="3230"/>
          </w:tcPr>
          <w:p>
            <w:r/>
            <w:r>
              <w:rPr>
                <w:rFonts w:ascii="Times New Roman" w:hAnsi="Times New Roman" w:eastAsia="Times New Roman"/>
                <w:sz w:val="22"/>
              </w:rPr>
              <w:t>TTr → RLLAXH</w:t>
            </w:r>
          </w:p>
        </w:tc>
        <w:tc>
          <w:tcPr>
            <w:tcW w:type="dxa" w:w="3230"/>
          </w:tcPr>
          <w:p>
            <w:r/>
            <w:r>
              <w:rPr>
                <w:rFonts w:ascii="Times New Roman" w:hAnsi="Times New Roman" w:eastAsia="Times New Roman"/>
                <w:sz w:val="22"/>
              </w:rPr>
              <w:t>−0,415</w:t>
            </w:r>
          </w:p>
        </w:tc>
        <w:tc>
          <w:tcPr>
            <w:tcW w:type="dxa" w:w="3230"/>
          </w:tcPr>
          <w:p>
            <w:r/>
            <w:r>
              <w:rPr>
                <w:rFonts w:ascii="Times New Roman" w:hAnsi="Times New Roman" w:eastAsia="Times New Roman"/>
                <w:sz w:val="22"/>
              </w:rPr>
              <w:t>LỚN âm — lòng tự trọng bảo vệ mạnh khỏi lo âu xã hội</w:t>
            </w:r>
          </w:p>
        </w:tc>
      </w:tr>
      <w:tr>
        <w:tc>
          <w:tcPr>
            <w:tcW w:type="dxa" w:w="3230"/>
          </w:tcPr>
          <w:p>
            <w:r/>
            <w:r>
              <w:rPr>
                <w:rFonts w:ascii="Times New Roman" w:hAnsi="Times New Roman" w:eastAsia="Times New Roman"/>
                <w:sz w:val="22"/>
              </w:rPr>
              <w:t>NĐT → RLLAXH</w:t>
            </w:r>
          </w:p>
        </w:tc>
        <w:tc>
          <w:tcPr>
            <w:tcW w:type="dxa" w:w="3230"/>
          </w:tcPr>
          <w:p>
            <w:r/>
            <w:r>
              <w:rPr>
                <w:rFonts w:ascii="Times New Roman" w:hAnsi="Times New Roman" w:eastAsia="Times New Roman"/>
                <w:sz w:val="22"/>
              </w:rPr>
              <w:t>0,383</w:t>
            </w:r>
          </w:p>
        </w:tc>
        <w:tc>
          <w:tcPr>
            <w:tcW w:type="dxa" w:w="3230"/>
          </w:tcPr>
          <w:p>
            <w:r/>
            <w:r>
              <w:rPr>
                <w:rFonts w:ascii="Times New Roman" w:hAnsi="Times New Roman" w:eastAsia="Times New Roman"/>
                <w:sz w:val="22"/>
              </w:rPr>
              <w:t>TRUNG BÌNH dương — nghiện điện thoại làm tăng lo âu xã hội</w:t>
            </w:r>
          </w:p>
        </w:tc>
      </w:tr>
      <w:tr>
        <w:tc>
          <w:tcPr>
            <w:tcW w:type="dxa" w:w="3230"/>
          </w:tcPr>
          <w:p>
            <w:r/>
            <w:r>
              <w:rPr>
                <w:rFonts w:ascii="Times New Roman" w:hAnsi="Times New Roman" w:eastAsia="Times New Roman"/>
                <w:sz w:val="22"/>
              </w:rPr>
              <w:t>BNHĐ → RLLAC</w:t>
            </w:r>
          </w:p>
        </w:tc>
        <w:tc>
          <w:tcPr>
            <w:tcW w:type="dxa" w:w="3230"/>
          </w:tcPr>
          <w:p>
            <w:r/>
            <w:r>
              <w:rPr>
                <w:rFonts w:ascii="Times New Roman" w:hAnsi="Times New Roman" w:eastAsia="Times New Roman"/>
                <w:sz w:val="22"/>
              </w:rPr>
              <w:t>0,376</w:t>
            </w:r>
          </w:p>
        </w:tc>
        <w:tc>
          <w:tcPr>
            <w:tcW w:type="dxa" w:w="3230"/>
          </w:tcPr>
          <w:p>
            <w:r/>
            <w:r>
              <w:rPr>
                <w:rFonts w:ascii="Times New Roman" w:hAnsi="Times New Roman" w:eastAsia="Times New Roman"/>
                <w:sz w:val="22"/>
              </w:rPr>
              <w:t>TRUNG BÌNH dương — bắt nạt học đường tăng lo âu chia ly (mạnh nhất trong nhóm BNHĐ)</w:t>
            </w:r>
          </w:p>
        </w:tc>
      </w:tr>
      <w:tr>
        <w:tc>
          <w:tcPr>
            <w:tcW w:type="dxa" w:w="3230"/>
          </w:tcPr>
          <w:p>
            <w:r/>
            <w:r>
              <w:rPr>
                <w:rFonts w:ascii="Times New Roman" w:hAnsi="Times New Roman" w:eastAsia="Times New Roman"/>
                <w:sz w:val="22"/>
              </w:rPr>
              <w:t>NĐT → RLLATQ</w:t>
            </w:r>
          </w:p>
        </w:tc>
        <w:tc>
          <w:tcPr>
            <w:tcW w:type="dxa" w:w="3230"/>
          </w:tcPr>
          <w:p>
            <w:r/>
            <w:r>
              <w:rPr>
                <w:rFonts w:ascii="Times New Roman" w:hAnsi="Times New Roman" w:eastAsia="Times New Roman"/>
                <w:sz w:val="22"/>
              </w:rPr>
              <w:t>0,336</w:t>
            </w:r>
          </w:p>
        </w:tc>
        <w:tc>
          <w:tcPr>
            <w:tcW w:type="dxa" w:w="3230"/>
          </w:tcPr>
          <w:p>
            <w:r/>
            <w:r>
              <w:rPr>
                <w:rFonts w:ascii="Times New Roman" w:hAnsi="Times New Roman" w:eastAsia="Times New Roman"/>
                <w:sz w:val="22"/>
              </w:rPr>
              <w:t>TRUNG BÌNH dương — nghiện điện thoại tăng lo âu tổng quát</w:t>
            </w:r>
          </w:p>
        </w:tc>
      </w:tr>
      <w:tr>
        <w:tc>
          <w:tcPr>
            <w:tcW w:type="dxa" w:w="3230"/>
          </w:tcPr>
          <w:p>
            <w:r/>
            <w:r>
              <w:rPr>
                <w:rFonts w:ascii="Times New Roman" w:hAnsi="Times New Roman" w:eastAsia="Times New Roman"/>
                <w:sz w:val="22"/>
              </w:rPr>
              <w:t>HTCM → RLLAXH</w:t>
            </w:r>
          </w:p>
        </w:tc>
        <w:tc>
          <w:tcPr>
            <w:tcW w:type="dxa" w:w="3230"/>
          </w:tcPr>
          <w:p>
            <w:r/>
            <w:r>
              <w:rPr>
                <w:rFonts w:ascii="Times New Roman" w:hAnsi="Times New Roman" w:eastAsia="Times New Roman"/>
                <w:sz w:val="22"/>
              </w:rPr>
              <w:t>−0,273</w:t>
            </w:r>
          </w:p>
        </w:tc>
        <w:tc>
          <w:tcPr>
            <w:tcW w:type="dxa" w:w="3230"/>
          </w:tcPr>
          <w:p>
            <w:r/>
            <w:r>
              <w:rPr>
                <w:rFonts w:ascii="Times New Roman" w:hAnsi="Times New Roman" w:eastAsia="Times New Roman"/>
                <w:sz w:val="22"/>
              </w:rPr>
              <w:t>NHỎ-TRUNG BÌNH âm — hỗ trợ cha mẹ bảo vệ khỏi lo âu xã hội</w:t>
            </w:r>
          </w:p>
        </w:tc>
      </w:tr>
      <w:tr>
        <w:tc>
          <w:tcPr>
            <w:tcW w:type="dxa" w:w="3230"/>
          </w:tcPr>
          <w:p>
            <w:r/>
            <w:r>
              <w:rPr>
                <w:rFonts w:ascii="Times New Roman" w:hAnsi="Times New Roman" w:eastAsia="Times New Roman"/>
                <w:sz w:val="22"/>
              </w:rPr>
              <w:t>ALHT → RLLAC</w:t>
            </w:r>
          </w:p>
        </w:tc>
        <w:tc>
          <w:tcPr>
            <w:tcW w:type="dxa" w:w="3230"/>
          </w:tcPr>
          <w:p>
            <w:r/>
            <w:r>
              <w:rPr>
                <w:rFonts w:ascii="Times New Roman" w:hAnsi="Times New Roman" w:eastAsia="Times New Roman"/>
                <w:sz w:val="22"/>
              </w:rPr>
              <w:t>0,253</w:t>
            </w:r>
          </w:p>
        </w:tc>
        <w:tc>
          <w:tcPr>
            <w:tcW w:type="dxa" w:w="3230"/>
          </w:tcPr>
          <w:p>
            <w:r/>
            <w:r>
              <w:rPr>
                <w:rFonts w:ascii="Times New Roman" w:hAnsi="Times New Roman" w:eastAsia="Times New Roman"/>
                <w:sz w:val="22"/>
              </w:rPr>
              <w:t>NHỎ-TRUNG BÌNH dương — áp lực học tập tăng lo âu chia ly</w:t>
            </w:r>
          </w:p>
        </w:tc>
      </w:tr>
      <w:tr>
        <w:tc>
          <w:tcPr>
            <w:tcW w:type="dxa" w:w="3230"/>
          </w:tcPr>
          <w:p>
            <w:r/>
            <w:r>
              <w:rPr>
                <w:rFonts w:ascii="Times New Roman" w:hAnsi="Times New Roman" w:eastAsia="Times New Roman"/>
                <w:sz w:val="22"/>
              </w:rPr>
              <w:t>BNHĐ → RLLAXH</w:t>
            </w:r>
          </w:p>
        </w:tc>
        <w:tc>
          <w:tcPr>
            <w:tcW w:type="dxa" w:w="3230"/>
          </w:tcPr>
          <w:p>
            <w:r/>
            <w:r>
              <w:rPr>
                <w:rFonts w:ascii="Times New Roman" w:hAnsi="Times New Roman" w:eastAsia="Times New Roman"/>
                <w:sz w:val="22"/>
              </w:rPr>
              <w:t>0,253</w:t>
            </w:r>
          </w:p>
        </w:tc>
        <w:tc>
          <w:tcPr>
            <w:tcW w:type="dxa" w:w="3230"/>
          </w:tcPr>
          <w:p>
            <w:r/>
            <w:r>
              <w:rPr>
                <w:rFonts w:ascii="Times New Roman" w:hAnsi="Times New Roman" w:eastAsia="Times New Roman"/>
                <w:sz w:val="22"/>
              </w:rPr>
              <w:t>NHỎ-TRUNG BÌNH dương</w:t>
            </w:r>
          </w:p>
        </w:tc>
      </w:tr>
      <w:tr>
        <w:tc>
          <w:tcPr>
            <w:tcW w:type="dxa" w:w="3230"/>
          </w:tcPr>
          <w:p>
            <w:r/>
            <w:r>
              <w:rPr>
                <w:rFonts w:ascii="Times New Roman" w:hAnsi="Times New Roman" w:eastAsia="Times New Roman"/>
                <w:sz w:val="22"/>
              </w:rPr>
              <w:t>BNHĐ → RLLATQ</w:t>
            </w:r>
          </w:p>
        </w:tc>
        <w:tc>
          <w:tcPr>
            <w:tcW w:type="dxa" w:w="3230"/>
          </w:tcPr>
          <w:p>
            <w:r/>
            <w:r>
              <w:rPr>
                <w:rFonts w:ascii="Times New Roman" w:hAnsi="Times New Roman" w:eastAsia="Times New Roman"/>
                <w:sz w:val="22"/>
              </w:rPr>
              <w:t>0,215</w:t>
            </w:r>
          </w:p>
        </w:tc>
        <w:tc>
          <w:tcPr>
            <w:tcW w:type="dxa" w:w="3230"/>
          </w:tcPr>
          <w:p>
            <w:r/>
            <w:r>
              <w:rPr>
                <w:rFonts w:ascii="Times New Roman" w:hAnsi="Times New Roman" w:eastAsia="Times New Roman"/>
                <w:sz w:val="22"/>
              </w:rPr>
              <w:t>NHỎ dương</w:t>
            </w:r>
          </w:p>
        </w:tc>
      </w:tr>
      <w:tr>
        <w:tc>
          <w:tcPr>
            <w:tcW w:type="dxa" w:w="3230"/>
          </w:tcPr>
          <w:p>
            <w:r/>
            <w:r>
              <w:rPr>
                <w:rFonts w:ascii="Times New Roman" w:hAnsi="Times New Roman" w:eastAsia="Times New Roman"/>
                <w:sz w:val="22"/>
              </w:rPr>
              <w:t>GBTH → RLLA</w:t>
            </w:r>
          </w:p>
        </w:tc>
        <w:tc>
          <w:tcPr>
            <w:tcW w:type="dxa" w:w="3230"/>
          </w:tcPr>
          <w:p>
            <w:r/>
            <w:r>
              <w:rPr>
                <w:rFonts w:ascii="Times New Roman" w:hAnsi="Times New Roman" w:eastAsia="Times New Roman"/>
                <w:sz w:val="22"/>
              </w:rPr>
              <w:t>−0,155</w:t>
            </w:r>
          </w:p>
        </w:tc>
        <w:tc>
          <w:tcPr>
            <w:tcW w:type="dxa" w:w="3230"/>
          </w:tcPr>
          <w:p>
            <w:r/>
            <w:r>
              <w:rPr>
                <w:rFonts w:ascii="Times New Roman" w:hAnsi="Times New Roman" w:eastAsia="Times New Roman"/>
                <w:sz w:val="22"/>
              </w:rPr>
              <w:t>NHỎ âm — gắn bó trường học bảo vệ nhẹ</w:t>
            </w:r>
          </w:p>
        </w:tc>
      </w:tr>
      <w:tr>
        <w:tc>
          <w:tcPr>
            <w:tcW w:type="dxa" w:w="3230"/>
          </w:tcPr>
          <w:p>
            <w:r/>
            <w:r>
              <w:rPr>
                <w:rFonts w:ascii="Times New Roman" w:hAnsi="Times New Roman" w:eastAsia="Times New Roman"/>
                <w:sz w:val="22"/>
              </w:rPr>
              <w:t>HTCM → RLLAC</w:t>
            </w:r>
          </w:p>
        </w:tc>
        <w:tc>
          <w:tcPr>
            <w:tcW w:type="dxa" w:w="3230"/>
          </w:tcPr>
          <w:p>
            <w:r/>
            <w:r>
              <w:rPr>
                <w:rFonts w:ascii="Times New Roman" w:hAnsi="Times New Roman" w:eastAsia="Times New Roman"/>
                <w:sz w:val="22"/>
              </w:rPr>
              <w:t>0,000</w:t>
            </w:r>
          </w:p>
        </w:tc>
        <w:tc>
          <w:tcPr>
            <w:tcW w:type="dxa" w:w="3230"/>
          </w:tcPr>
          <w:p>
            <w:r/>
            <w:r>
              <w:rPr>
                <w:rFonts w:ascii="Times New Roman" w:hAnsi="Times New Roman" w:eastAsia="Times New Roman"/>
                <w:sz w:val="22"/>
              </w:rPr>
              <w:t>BẰNG KHÔNG — hỗ trợ cha mẹ KHÔNG có tác động lên lo âu chia ly (p=0,997)</w:t>
            </w:r>
          </w:p>
        </w:tc>
      </w:tr>
    </w:tbl>
    <w:p>
      <w:pPr>
        <w:spacing w:before="160" w:after="80" w:line="276" w:lineRule="auto"/>
      </w:pPr>
      <w:r>
        <w:rPr>
          <w:rFonts w:ascii="Times New Roman" w:hAnsi="Times New Roman" w:eastAsia="Times New Roman"/>
          <w:b/>
          <w:i/>
          <w:sz w:val="24"/>
        </w:rPr>
        <w:t>2. Hệ số xác định R² (R bình phương)</w:t>
      </w:r>
    </w:p>
    <w:p>
      <w:pPr>
        <w:spacing w:before="60" w:after="60" w:line="276" w:lineRule="auto"/>
        <w:ind w:firstLine="283"/>
        <w:jc w:val="both"/>
      </w:pPr>
      <w:r>
        <w:rPr>
          <w:rFonts w:ascii="Times New Roman" w:hAnsi="Times New Roman" w:eastAsia="Times New Roman"/>
          <w:sz w:val="24"/>
        </w:rPr>
        <w:t>Ý nghĩa: R² biểu thị tỷ lệ phần trăm phương sai của biến phụ thuộc được giải thích bởi (các) biến độc lập trong mô hình. R² nằm trong khoảng từ 0 đến 1; nhân 100 để ra phần trăm.</w:t>
      </w:r>
    </w:p>
    <w:p>
      <w:pPr>
        <w:spacing w:before="60" w:after="60" w:line="276" w:lineRule="auto"/>
        <w:ind w:firstLine="283"/>
      </w:pPr>
      <w:r>
        <w:rPr>
          <w:rFonts w:ascii="Times New Roman" w:hAnsi="Times New Roman" w:eastAsia="Times New Roman"/>
          <w:b/>
          <w:sz w:val="24"/>
        </w:rPr>
        <w:t>Cách diễn giải (Cohen, 1988):</w:t>
      </w:r>
    </w:p>
    <w:tbl>
      <w:tblPr>
        <w:tblStyle w:val="LightGrid"/>
        <w:tblW w:type="auto" w:w="0"/>
        <w:tblLook w:firstColumn="1" w:firstRow="1" w:lastColumn="0" w:lastRow="0" w:noHBand="0" w:noVBand="1" w:val="04A0"/>
      </w:tblPr>
      <w:tblGrid>
        <w:gridCol w:w="4844"/>
        <w:gridCol w:w="4844"/>
      </w:tblGrid>
      <w:tr>
        <w:tc>
          <w:tcPr>
            <w:tcW w:type="dxa" w:w="4844"/>
          </w:tcPr>
          <w:p>
            <w:r/>
            <w:r>
              <w:rPr>
                <w:rFonts w:ascii="Times New Roman" w:hAnsi="Times New Roman" w:eastAsia="Times New Roman"/>
                <w:b/>
                <w:sz w:val="22"/>
              </w:rPr>
              <w:t>R²</w:t>
            </w:r>
          </w:p>
        </w:tc>
        <w:tc>
          <w:tcPr>
            <w:tcW w:type="dxa" w:w="4844"/>
          </w:tcPr>
          <w:p>
            <w:r/>
            <w:r>
              <w:rPr>
                <w:rFonts w:ascii="Times New Roman" w:hAnsi="Times New Roman" w:eastAsia="Times New Roman"/>
                <w:b/>
                <w:sz w:val="22"/>
              </w:rPr>
              <w:t>Diễn giải</w:t>
            </w:r>
          </w:p>
        </w:tc>
      </w:tr>
      <w:tr>
        <w:tc>
          <w:tcPr>
            <w:tcW w:type="dxa" w:w="4844"/>
          </w:tcPr>
          <w:p>
            <w:r/>
            <w:r>
              <w:rPr>
                <w:rFonts w:ascii="Times New Roman" w:hAnsi="Times New Roman" w:eastAsia="Times New Roman"/>
                <w:sz w:val="22"/>
              </w:rPr>
              <w:t>0,02 – 0,12</w:t>
            </w:r>
          </w:p>
        </w:tc>
        <w:tc>
          <w:tcPr>
            <w:tcW w:type="dxa" w:w="4844"/>
          </w:tcPr>
          <w:p>
            <w:r/>
            <w:r>
              <w:rPr>
                <w:rFonts w:ascii="Times New Roman" w:hAnsi="Times New Roman" w:eastAsia="Times New Roman"/>
                <w:sz w:val="22"/>
              </w:rPr>
              <w:t>Hiệu ứng nhỏ</w:t>
            </w:r>
          </w:p>
        </w:tc>
      </w:tr>
      <w:tr>
        <w:tc>
          <w:tcPr>
            <w:tcW w:type="dxa" w:w="4844"/>
          </w:tcPr>
          <w:p>
            <w:r/>
            <w:r>
              <w:rPr>
                <w:rFonts w:ascii="Times New Roman" w:hAnsi="Times New Roman" w:eastAsia="Times New Roman"/>
                <w:sz w:val="22"/>
              </w:rPr>
              <w:t>0,13 – 0,25</w:t>
            </w:r>
          </w:p>
        </w:tc>
        <w:tc>
          <w:tcPr>
            <w:tcW w:type="dxa" w:w="4844"/>
          </w:tcPr>
          <w:p>
            <w:r/>
            <w:r>
              <w:rPr>
                <w:rFonts w:ascii="Times New Roman" w:hAnsi="Times New Roman" w:eastAsia="Times New Roman"/>
                <w:sz w:val="22"/>
              </w:rPr>
              <w:t>Hiệu ứng trung bình</w:t>
            </w:r>
          </w:p>
        </w:tc>
      </w:tr>
      <w:tr>
        <w:tc>
          <w:tcPr>
            <w:tcW w:type="dxa" w:w="4844"/>
          </w:tcPr>
          <w:p>
            <w:r/>
            <w:r>
              <w:rPr>
                <w:rFonts w:ascii="Times New Roman" w:hAnsi="Times New Roman" w:eastAsia="Times New Roman"/>
                <w:sz w:val="22"/>
              </w:rPr>
              <w:t>≥ 0,26</w:t>
            </w:r>
          </w:p>
        </w:tc>
        <w:tc>
          <w:tcPr>
            <w:tcW w:type="dxa" w:w="4844"/>
          </w:tcPr>
          <w:p>
            <w:r/>
            <w:r>
              <w:rPr>
                <w:rFonts w:ascii="Times New Roman" w:hAnsi="Times New Roman" w:eastAsia="Times New Roman"/>
                <w:sz w:val="22"/>
              </w:rPr>
              <w:t>Hiệu ứng lớn</w:t>
            </w:r>
          </w:p>
        </w:tc>
      </w:tr>
    </w:tbl>
    <w:p>
      <w:pPr>
        <w:spacing w:before="60" w:after="60" w:line="276" w:lineRule="auto"/>
        <w:ind w:firstLine="283"/>
      </w:pPr>
      <w:r>
        <w:rPr>
          <w:rFonts w:ascii="Times New Roman" w:hAnsi="Times New Roman" w:eastAsia="Times New Roman"/>
          <w:b/>
          <w:sz w:val="24"/>
        </w:rPr>
        <w:t>Ví dụ trong bài:</w:t>
      </w:r>
    </w:p>
    <w:tbl>
      <w:tblPr>
        <w:tblStyle w:val="LightGrid"/>
        <w:tblW w:type="auto" w:w="0"/>
        <w:tblLook w:firstColumn="1" w:firstRow="1" w:lastColumn="0" w:lastRow="0" w:noHBand="0" w:noVBand="1" w:val="04A0"/>
      </w:tblPr>
      <w:tblGrid>
        <w:gridCol w:w="3230"/>
        <w:gridCol w:w="3230"/>
        <w:gridCol w:w="3230"/>
      </w:tblGrid>
      <w:tr>
        <w:tc>
          <w:tcPr>
            <w:tcW w:type="dxa" w:w="3230"/>
          </w:tcPr>
          <w:p>
            <w:r/>
            <w:r>
              <w:rPr>
                <w:rFonts w:ascii="Times New Roman" w:hAnsi="Times New Roman" w:eastAsia="Times New Roman"/>
                <w:b/>
                <w:sz w:val="22"/>
              </w:rPr>
              <w:t>Mô hình</w:t>
            </w:r>
          </w:p>
        </w:tc>
        <w:tc>
          <w:tcPr>
            <w:tcW w:type="dxa" w:w="3230"/>
          </w:tcPr>
          <w:p>
            <w:r/>
            <w:r>
              <w:rPr>
                <w:rFonts w:ascii="Times New Roman" w:hAnsi="Times New Roman" w:eastAsia="Times New Roman"/>
                <w:b/>
                <w:sz w:val="22"/>
              </w:rPr>
              <w:t>R²</w:t>
            </w:r>
          </w:p>
        </w:tc>
        <w:tc>
          <w:tcPr>
            <w:tcW w:type="dxa" w:w="3230"/>
          </w:tcPr>
          <w:p>
            <w:r/>
            <w:r>
              <w:rPr>
                <w:rFonts w:ascii="Times New Roman" w:hAnsi="Times New Roman" w:eastAsia="Times New Roman"/>
                <w:b/>
                <w:sz w:val="22"/>
              </w:rPr>
              <w:t>Diễn giải</w:t>
            </w:r>
          </w:p>
        </w:tc>
      </w:tr>
      <w:tr>
        <w:tc>
          <w:tcPr>
            <w:tcW w:type="dxa" w:w="3230"/>
          </w:tcPr>
          <w:p>
            <w:r/>
            <w:r>
              <w:rPr>
                <w:rFonts w:ascii="Times New Roman" w:hAnsi="Times New Roman" w:eastAsia="Times New Roman"/>
                <w:sz w:val="22"/>
              </w:rPr>
              <w:t>BPĐP → RLLATQ</w:t>
            </w:r>
          </w:p>
        </w:tc>
        <w:tc>
          <w:tcPr>
            <w:tcW w:type="dxa" w:w="3230"/>
          </w:tcPr>
          <w:p>
            <w:r/>
            <w:r>
              <w:rPr>
                <w:rFonts w:ascii="Times New Roman" w:hAnsi="Times New Roman" w:eastAsia="Times New Roman"/>
                <w:sz w:val="22"/>
              </w:rPr>
              <w:t>0,561</w:t>
            </w:r>
          </w:p>
        </w:tc>
        <w:tc>
          <w:tcPr>
            <w:tcW w:type="dxa" w:w="3230"/>
          </w:tcPr>
          <w:p>
            <w:r/>
            <w:r>
              <w:rPr>
                <w:rFonts w:ascii="Times New Roman" w:hAnsi="Times New Roman" w:eastAsia="Times New Roman"/>
                <w:sz w:val="22"/>
              </w:rPr>
              <w:t>Rất lớn — 56,1% phương sai lo âu tổng quát được giải thích bởi đối phó kém thích nghi</w:t>
            </w:r>
          </w:p>
        </w:tc>
      </w:tr>
      <w:tr>
        <w:tc>
          <w:tcPr>
            <w:tcW w:type="dxa" w:w="3230"/>
          </w:tcPr>
          <w:p>
            <w:r/>
            <w:r>
              <w:rPr>
                <w:rFonts w:ascii="Times New Roman" w:hAnsi="Times New Roman" w:eastAsia="Times New Roman"/>
                <w:sz w:val="22"/>
              </w:rPr>
              <w:t>Mô hình tích hợp YTNC + YTBV → RLLA</w:t>
            </w:r>
          </w:p>
        </w:tc>
        <w:tc>
          <w:tcPr>
            <w:tcW w:type="dxa" w:w="3230"/>
          </w:tcPr>
          <w:p>
            <w:r/>
            <w:r>
              <w:rPr>
                <w:rFonts w:ascii="Times New Roman" w:hAnsi="Times New Roman" w:eastAsia="Times New Roman"/>
                <w:sz w:val="22"/>
              </w:rPr>
              <w:t>0,598</w:t>
            </w:r>
          </w:p>
        </w:tc>
        <w:tc>
          <w:tcPr>
            <w:tcW w:type="dxa" w:w="3230"/>
          </w:tcPr>
          <w:p>
            <w:r/>
            <w:r>
              <w:rPr>
                <w:rFonts w:ascii="Times New Roman" w:hAnsi="Times New Roman" w:eastAsia="Times New Roman"/>
                <w:sz w:val="22"/>
              </w:rPr>
              <w:t>Rất lớn — 59,8% phương sai lo âu được giải thích bởi tổ hợp yếu tố nguy cơ và bảo vệ</w:t>
            </w:r>
          </w:p>
        </w:tc>
      </w:tr>
      <w:tr>
        <w:tc>
          <w:tcPr>
            <w:tcW w:type="dxa" w:w="3230"/>
          </w:tcPr>
          <w:p>
            <w:r/>
            <w:r>
              <w:rPr>
                <w:rFonts w:ascii="Times New Roman" w:hAnsi="Times New Roman" w:eastAsia="Times New Roman"/>
                <w:sz w:val="22"/>
              </w:rPr>
              <w:t>YTNC tổng → RLLA</w:t>
            </w:r>
          </w:p>
        </w:tc>
        <w:tc>
          <w:tcPr>
            <w:tcW w:type="dxa" w:w="3230"/>
          </w:tcPr>
          <w:p>
            <w:r/>
            <w:r>
              <w:rPr>
                <w:rFonts w:ascii="Times New Roman" w:hAnsi="Times New Roman" w:eastAsia="Times New Roman"/>
                <w:sz w:val="22"/>
              </w:rPr>
              <w:t>0,558</w:t>
            </w:r>
          </w:p>
        </w:tc>
        <w:tc>
          <w:tcPr>
            <w:tcW w:type="dxa" w:w="3230"/>
          </w:tcPr>
          <w:p>
            <w:r/>
            <w:r>
              <w:rPr>
                <w:rFonts w:ascii="Times New Roman" w:hAnsi="Times New Roman" w:eastAsia="Times New Roman"/>
                <w:sz w:val="22"/>
              </w:rPr>
              <w:t>Lớn — yếu tố nguy cơ riêng giải thích 55,8% phương sai</w:t>
            </w:r>
          </w:p>
        </w:tc>
      </w:tr>
      <w:tr>
        <w:tc>
          <w:tcPr>
            <w:tcW w:type="dxa" w:w="3230"/>
          </w:tcPr>
          <w:p>
            <w:r/>
            <w:r>
              <w:rPr>
                <w:rFonts w:ascii="Times New Roman" w:hAnsi="Times New Roman" w:eastAsia="Times New Roman"/>
                <w:sz w:val="22"/>
              </w:rPr>
              <w:t>ALHT → RLLA tổng</w:t>
            </w:r>
          </w:p>
        </w:tc>
        <w:tc>
          <w:tcPr>
            <w:tcW w:type="dxa" w:w="3230"/>
          </w:tcPr>
          <w:p>
            <w:r/>
            <w:r>
              <w:rPr>
                <w:rFonts w:ascii="Times New Roman" w:hAnsi="Times New Roman" w:eastAsia="Times New Roman"/>
                <w:sz w:val="22"/>
              </w:rPr>
              <w:t>0,284</w:t>
            </w:r>
          </w:p>
        </w:tc>
        <w:tc>
          <w:tcPr>
            <w:tcW w:type="dxa" w:w="3230"/>
          </w:tcPr>
          <w:p>
            <w:r/>
            <w:r>
              <w:rPr>
                <w:rFonts w:ascii="Times New Roman" w:hAnsi="Times New Roman" w:eastAsia="Times New Roman"/>
                <w:sz w:val="22"/>
              </w:rPr>
              <w:t>Lớn — áp lực học tập một mình giải thích 28,4% phương sai</w:t>
            </w:r>
          </w:p>
        </w:tc>
      </w:tr>
      <w:tr>
        <w:tc>
          <w:tcPr>
            <w:tcW w:type="dxa" w:w="3230"/>
          </w:tcPr>
          <w:p>
            <w:r/>
            <w:r>
              <w:rPr>
                <w:rFonts w:ascii="Times New Roman" w:hAnsi="Times New Roman" w:eastAsia="Times New Roman"/>
                <w:sz w:val="22"/>
              </w:rPr>
              <w:t>TTr → RLLA tổng</w:t>
            </w:r>
          </w:p>
        </w:tc>
        <w:tc>
          <w:tcPr>
            <w:tcW w:type="dxa" w:w="3230"/>
          </w:tcPr>
          <w:p>
            <w:r/>
            <w:r>
              <w:rPr>
                <w:rFonts w:ascii="Times New Roman" w:hAnsi="Times New Roman" w:eastAsia="Times New Roman"/>
                <w:sz w:val="22"/>
              </w:rPr>
              <w:t>0,209</w:t>
            </w:r>
          </w:p>
        </w:tc>
        <w:tc>
          <w:tcPr>
            <w:tcW w:type="dxa" w:w="3230"/>
          </w:tcPr>
          <w:p>
            <w:r/>
            <w:r>
              <w:rPr>
                <w:rFonts w:ascii="Times New Roman" w:hAnsi="Times New Roman" w:eastAsia="Times New Roman"/>
                <w:sz w:val="22"/>
              </w:rPr>
              <w:t>Trung bình — lòng tự trọng một mình giải thích 20,9% phương sai</w:t>
            </w:r>
          </w:p>
        </w:tc>
      </w:tr>
      <w:tr>
        <w:tc>
          <w:tcPr>
            <w:tcW w:type="dxa" w:w="3230"/>
          </w:tcPr>
          <w:p>
            <w:r/>
            <w:r>
              <w:rPr>
                <w:rFonts w:ascii="Times New Roman" w:hAnsi="Times New Roman" w:eastAsia="Times New Roman"/>
                <w:sz w:val="22"/>
              </w:rPr>
              <w:t>NĐT → RLLA tổng</w:t>
            </w:r>
          </w:p>
        </w:tc>
        <w:tc>
          <w:tcPr>
            <w:tcW w:type="dxa" w:w="3230"/>
          </w:tcPr>
          <w:p>
            <w:r/>
            <w:r>
              <w:rPr>
                <w:rFonts w:ascii="Times New Roman" w:hAnsi="Times New Roman" w:eastAsia="Times New Roman"/>
                <w:sz w:val="22"/>
              </w:rPr>
              <w:t>0,160</w:t>
            </w:r>
          </w:p>
        </w:tc>
        <w:tc>
          <w:tcPr>
            <w:tcW w:type="dxa" w:w="3230"/>
          </w:tcPr>
          <w:p>
            <w:r/>
            <w:r>
              <w:rPr>
                <w:rFonts w:ascii="Times New Roman" w:hAnsi="Times New Roman" w:eastAsia="Times New Roman"/>
                <w:sz w:val="22"/>
              </w:rPr>
              <w:t>Trung bình — nghiện điện thoại giải thích 16,0% phương sai</w:t>
            </w:r>
          </w:p>
        </w:tc>
      </w:tr>
      <w:tr>
        <w:tc>
          <w:tcPr>
            <w:tcW w:type="dxa" w:w="3230"/>
          </w:tcPr>
          <w:p>
            <w:r/>
            <w:r>
              <w:rPr>
                <w:rFonts w:ascii="Times New Roman" w:hAnsi="Times New Roman" w:eastAsia="Times New Roman"/>
                <w:sz w:val="22"/>
              </w:rPr>
              <w:t>YTBV tổng → RLLA</w:t>
            </w:r>
          </w:p>
        </w:tc>
        <w:tc>
          <w:tcPr>
            <w:tcW w:type="dxa" w:w="3230"/>
          </w:tcPr>
          <w:p>
            <w:r/>
            <w:r>
              <w:rPr>
                <w:rFonts w:ascii="Times New Roman" w:hAnsi="Times New Roman" w:eastAsia="Times New Roman"/>
                <w:sz w:val="22"/>
              </w:rPr>
              <w:t>0,124</w:t>
            </w:r>
          </w:p>
        </w:tc>
        <w:tc>
          <w:tcPr>
            <w:tcW w:type="dxa" w:w="3230"/>
          </w:tcPr>
          <w:p>
            <w:r/>
            <w:r>
              <w:rPr>
                <w:rFonts w:ascii="Times New Roman" w:hAnsi="Times New Roman" w:eastAsia="Times New Roman"/>
                <w:sz w:val="22"/>
              </w:rPr>
              <w:t>Nhỏ — yếu tố bảo vệ riêng giải thích 12,4% phương sai</w:t>
            </w:r>
          </w:p>
        </w:tc>
      </w:tr>
      <w:tr>
        <w:tc>
          <w:tcPr>
            <w:tcW w:type="dxa" w:w="3230"/>
          </w:tcPr>
          <w:p>
            <w:r/>
            <w:r>
              <w:rPr>
                <w:rFonts w:ascii="Times New Roman" w:hAnsi="Times New Roman" w:eastAsia="Times New Roman"/>
                <w:sz w:val="22"/>
              </w:rPr>
              <w:t>BNHĐ → RLLA tổng</w:t>
            </w:r>
          </w:p>
        </w:tc>
        <w:tc>
          <w:tcPr>
            <w:tcW w:type="dxa" w:w="3230"/>
          </w:tcPr>
          <w:p>
            <w:r/>
            <w:r>
              <w:rPr>
                <w:rFonts w:ascii="Times New Roman" w:hAnsi="Times New Roman" w:eastAsia="Times New Roman"/>
                <w:sz w:val="22"/>
              </w:rPr>
              <w:t>0,076</w:t>
            </w:r>
          </w:p>
        </w:tc>
        <w:tc>
          <w:tcPr>
            <w:tcW w:type="dxa" w:w="3230"/>
          </w:tcPr>
          <w:p>
            <w:r/>
            <w:r>
              <w:rPr>
                <w:rFonts w:ascii="Times New Roman" w:hAnsi="Times New Roman" w:eastAsia="Times New Roman"/>
                <w:sz w:val="22"/>
              </w:rPr>
              <w:t>Nhỏ — bắt nạt một mình giải thích 7,6% phương sai</w:t>
            </w:r>
          </w:p>
        </w:tc>
      </w:tr>
      <w:tr>
        <w:tc>
          <w:tcPr>
            <w:tcW w:type="dxa" w:w="3230"/>
          </w:tcPr>
          <w:p>
            <w:r/>
            <w:r>
              <w:rPr>
                <w:rFonts w:ascii="Times New Roman" w:hAnsi="Times New Roman" w:eastAsia="Times New Roman"/>
                <w:sz w:val="22"/>
              </w:rPr>
              <w:t>GBTH → RLLA tổng</w:t>
            </w:r>
          </w:p>
        </w:tc>
        <w:tc>
          <w:tcPr>
            <w:tcW w:type="dxa" w:w="3230"/>
          </w:tcPr>
          <w:p>
            <w:r/>
            <w:r>
              <w:rPr>
                <w:rFonts w:ascii="Times New Roman" w:hAnsi="Times New Roman" w:eastAsia="Times New Roman"/>
                <w:sz w:val="22"/>
              </w:rPr>
              <w:t>0,024</w:t>
            </w:r>
          </w:p>
        </w:tc>
        <w:tc>
          <w:tcPr>
            <w:tcW w:type="dxa" w:w="3230"/>
          </w:tcPr>
          <w:p>
            <w:r/>
            <w:r>
              <w:rPr>
                <w:rFonts w:ascii="Times New Roman" w:hAnsi="Times New Roman" w:eastAsia="Times New Roman"/>
                <w:sz w:val="22"/>
              </w:rPr>
              <w:t>Rất nhỏ</w:t>
            </w:r>
          </w:p>
        </w:tc>
      </w:tr>
    </w:tbl>
    <w:p>
      <w:pPr>
        <w:spacing w:before="160" w:after="80" w:line="276" w:lineRule="auto"/>
      </w:pPr>
      <w:r>
        <w:rPr>
          <w:rFonts w:ascii="Times New Roman" w:hAnsi="Times New Roman" w:eastAsia="Times New Roman"/>
          <w:b/>
          <w:i/>
          <w:sz w:val="24"/>
        </w:rPr>
        <w:t>3. Cohen d (kích thước hiệu ứng giữa hai nhóm)</w:t>
      </w:r>
    </w:p>
    <w:p>
      <w:pPr>
        <w:spacing w:before="60" w:after="60" w:line="276" w:lineRule="auto"/>
        <w:ind w:firstLine="283"/>
        <w:jc w:val="both"/>
      </w:pPr>
      <w:r>
        <w:rPr>
          <w:rFonts w:ascii="Times New Roman" w:hAnsi="Times New Roman" w:eastAsia="Times New Roman"/>
          <w:sz w:val="24"/>
        </w:rPr>
        <w:t>Ý nghĩa: Cohen d biểu thị chênh lệch trung bình giữa hai nhóm (ví dụ nam vs nữ) tính bằng số độ lệch chuẩn của tổng thể. d không có giới hạn trên về mặt lý thuyết nhưng trong nghiên cứu hành vi thường nằm trong khoảng −2 đến +2.</w:t>
      </w:r>
    </w:p>
    <w:p>
      <w:pPr>
        <w:spacing w:before="60" w:after="60" w:line="276" w:lineRule="auto"/>
        <w:ind w:firstLine="283"/>
      </w:pPr>
      <w:r>
        <w:rPr>
          <w:rFonts w:ascii="Times New Roman" w:hAnsi="Times New Roman" w:eastAsia="Times New Roman"/>
          <w:b/>
          <w:sz w:val="24"/>
        </w:rPr>
        <w:t>Cách diễn giải (Cohen, 1988):</w:t>
      </w:r>
    </w:p>
    <w:tbl>
      <w:tblPr>
        <w:tblStyle w:val="LightGrid"/>
        <w:tblW w:type="auto" w:w="0"/>
        <w:tblLook w:firstColumn="1" w:firstRow="1" w:lastColumn="0" w:lastRow="0" w:noHBand="0" w:noVBand="1" w:val="04A0"/>
      </w:tblPr>
      <w:tblGrid>
        <w:gridCol w:w="4844"/>
        <w:gridCol w:w="4844"/>
      </w:tblGrid>
      <w:tr>
        <w:tc>
          <w:tcPr>
            <w:tcW w:type="dxa" w:w="4844"/>
          </w:tcPr>
          <w:p>
            <w:r/>
            <w:r>
              <w:rPr>
                <w:rFonts w:ascii="Times New Roman" w:hAnsi="Times New Roman" w:eastAsia="Times New Roman"/>
                <w:b/>
                <w:sz w:val="22"/>
              </w:rPr>
              <w:t>|d|</w:t>
            </w:r>
          </w:p>
        </w:tc>
        <w:tc>
          <w:tcPr>
            <w:tcW w:type="dxa" w:w="4844"/>
          </w:tcPr>
          <w:p>
            <w:r/>
            <w:r>
              <w:rPr>
                <w:rFonts w:ascii="Times New Roman" w:hAnsi="Times New Roman" w:eastAsia="Times New Roman"/>
                <w:b/>
                <w:sz w:val="22"/>
              </w:rPr>
              <w:t>Diễn giải</w:t>
            </w:r>
          </w:p>
        </w:tc>
      </w:tr>
      <w:tr>
        <w:tc>
          <w:tcPr>
            <w:tcW w:type="dxa" w:w="4844"/>
          </w:tcPr>
          <w:p>
            <w:r/>
            <w:r>
              <w:rPr>
                <w:rFonts w:ascii="Times New Roman" w:hAnsi="Times New Roman" w:eastAsia="Times New Roman"/>
                <w:sz w:val="22"/>
              </w:rPr>
              <w:t>&lt; 0,20</w:t>
            </w:r>
          </w:p>
        </w:tc>
        <w:tc>
          <w:tcPr>
            <w:tcW w:type="dxa" w:w="4844"/>
          </w:tcPr>
          <w:p>
            <w:r/>
            <w:r>
              <w:rPr>
                <w:rFonts w:ascii="Times New Roman" w:hAnsi="Times New Roman" w:eastAsia="Times New Roman"/>
                <w:sz w:val="22"/>
              </w:rPr>
              <w:t>Rất nhỏ / không đáng kể</w:t>
            </w:r>
          </w:p>
        </w:tc>
      </w:tr>
      <w:tr>
        <w:tc>
          <w:tcPr>
            <w:tcW w:type="dxa" w:w="4844"/>
          </w:tcPr>
          <w:p>
            <w:r/>
            <w:r>
              <w:rPr>
                <w:rFonts w:ascii="Times New Roman" w:hAnsi="Times New Roman" w:eastAsia="Times New Roman"/>
                <w:sz w:val="22"/>
              </w:rPr>
              <w:t>0,20 – 0,49</w:t>
            </w:r>
          </w:p>
        </w:tc>
        <w:tc>
          <w:tcPr>
            <w:tcW w:type="dxa" w:w="4844"/>
          </w:tcPr>
          <w:p>
            <w:r/>
            <w:r>
              <w:rPr>
                <w:rFonts w:ascii="Times New Roman" w:hAnsi="Times New Roman" w:eastAsia="Times New Roman"/>
                <w:sz w:val="22"/>
              </w:rPr>
              <w:t>Nhỏ</w:t>
            </w:r>
          </w:p>
        </w:tc>
      </w:tr>
      <w:tr>
        <w:tc>
          <w:tcPr>
            <w:tcW w:type="dxa" w:w="4844"/>
          </w:tcPr>
          <w:p>
            <w:r/>
            <w:r>
              <w:rPr>
                <w:rFonts w:ascii="Times New Roman" w:hAnsi="Times New Roman" w:eastAsia="Times New Roman"/>
                <w:sz w:val="22"/>
              </w:rPr>
              <w:t>0,50 – 0,79</w:t>
            </w:r>
          </w:p>
        </w:tc>
        <w:tc>
          <w:tcPr>
            <w:tcW w:type="dxa" w:w="4844"/>
          </w:tcPr>
          <w:p>
            <w:r/>
            <w:r>
              <w:rPr>
                <w:rFonts w:ascii="Times New Roman" w:hAnsi="Times New Roman" w:eastAsia="Times New Roman"/>
                <w:sz w:val="22"/>
              </w:rPr>
              <w:t>Trung bình</w:t>
            </w:r>
          </w:p>
        </w:tc>
      </w:tr>
      <w:tr>
        <w:tc>
          <w:tcPr>
            <w:tcW w:type="dxa" w:w="4844"/>
          </w:tcPr>
          <w:p>
            <w:r/>
            <w:r>
              <w:rPr>
                <w:rFonts w:ascii="Times New Roman" w:hAnsi="Times New Roman" w:eastAsia="Times New Roman"/>
                <w:sz w:val="22"/>
              </w:rPr>
              <w:t>≥ 0,80</w:t>
            </w:r>
          </w:p>
        </w:tc>
        <w:tc>
          <w:tcPr>
            <w:tcW w:type="dxa" w:w="4844"/>
          </w:tcPr>
          <w:p>
            <w:r/>
            <w:r>
              <w:rPr>
                <w:rFonts w:ascii="Times New Roman" w:hAnsi="Times New Roman" w:eastAsia="Times New Roman"/>
                <w:sz w:val="22"/>
              </w:rPr>
              <w:t>Lớn</w:t>
            </w:r>
          </w:p>
        </w:tc>
      </w:tr>
    </w:tbl>
    <w:p>
      <w:pPr>
        <w:spacing w:before="60" w:after="60" w:line="276" w:lineRule="auto"/>
        <w:ind w:firstLine="283"/>
      </w:pPr>
      <w:r>
        <w:rPr>
          <w:rFonts w:ascii="Times New Roman" w:hAnsi="Times New Roman" w:eastAsia="Times New Roman"/>
          <w:b/>
          <w:sz w:val="24"/>
        </w:rPr>
        <w:t>Ví dụ pattern ba tầng giới trong bài:</w:t>
      </w:r>
    </w:p>
    <w:tbl>
      <w:tblPr>
        <w:tblStyle w:val="LightGrid"/>
        <w:tblW w:type="auto" w:w="0"/>
        <w:tblLook w:firstColumn="1" w:firstRow="1" w:lastColumn="0" w:lastRow="0" w:noHBand="0" w:noVBand="1" w:val="04A0"/>
      </w:tblPr>
      <w:tblGrid>
        <w:gridCol w:w="1938"/>
        <w:gridCol w:w="1938"/>
        <w:gridCol w:w="1938"/>
        <w:gridCol w:w="1938"/>
        <w:gridCol w:w="1938"/>
      </w:tblGrid>
      <w:tr>
        <w:tc>
          <w:tcPr>
            <w:tcW w:type="dxa" w:w="1938"/>
          </w:tcPr>
          <w:p>
            <w:r/>
            <w:r>
              <w:rPr>
                <w:rFonts w:ascii="Times New Roman" w:hAnsi="Times New Roman" w:eastAsia="Times New Roman"/>
                <w:b/>
                <w:sz w:val="22"/>
              </w:rPr>
              <w:t>Phân nhóm lo âu</w:t>
            </w:r>
          </w:p>
        </w:tc>
        <w:tc>
          <w:tcPr>
            <w:tcW w:type="dxa" w:w="1938"/>
          </w:tcPr>
          <w:p>
            <w:r/>
            <w:r>
              <w:rPr>
                <w:rFonts w:ascii="Times New Roman" w:hAnsi="Times New Roman" w:eastAsia="Times New Roman"/>
                <w:b/>
                <w:sz w:val="22"/>
              </w:rPr>
              <w:t>F (giới)</w:t>
            </w:r>
          </w:p>
        </w:tc>
        <w:tc>
          <w:tcPr>
            <w:tcW w:type="dxa" w:w="1938"/>
          </w:tcPr>
          <w:p>
            <w:r/>
            <w:r>
              <w:rPr>
                <w:rFonts w:ascii="Times New Roman" w:hAnsi="Times New Roman" w:eastAsia="Times New Roman"/>
                <w:b/>
                <w:sz w:val="22"/>
              </w:rPr>
              <w:t>p</w:t>
            </w:r>
          </w:p>
        </w:tc>
        <w:tc>
          <w:tcPr>
            <w:tcW w:type="dxa" w:w="1938"/>
          </w:tcPr>
          <w:p>
            <w:r/>
            <w:r>
              <w:rPr>
                <w:rFonts w:ascii="Times New Roman" w:hAnsi="Times New Roman" w:eastAsia="Times New Roman"/>
                <w:b/>
                <w:sz w:val="22"/>
              </w:rPr>
              <w:t>Cohen d</w:t>
            </w:r>
          </w:p>
        </w:tc>
        <w:tc>
          <w:tcPr>
            <w:tcW w:type="dxa" w:w="1938"/>
          </w:tcPr>
          <w:p>
            <w:r/>
            <w:r>
              <w:rPr>
                <w:rFonts w:ascii="Times New Roman" w:hAnsi="Times New Roman" w:eastAsia="Times New Roman"/>
                <w:b/>
                <w:sz w:val="22"/>
              </w:rPr>
              <w:t>Diễn giải</w:t>
            </w:r>
          </w:p>
        </w:tc>
      </w:tr>
      <w:tr>
        <w:tc>
          <w:tcPr>
            <w:tcW w:type="dxa" w:w="1938"/>
          </w:tcPr>
          <w:p>
            <w:r/>
            <w:r>
              <w:rPr>
                <w:rFonts w:ascii="Times New Roman" w:hAnsi="Times New Roman" w:eastAsia="Times New Roman"/>
                <w:sz w:val="22"/>
              </w:rPr>
              <w:t>Lo âu tổng quát (RLLATQ)</w:t>
            </w:r>
          </w:p>
        </w:tc>
        <w:tc>
          <w:tcPr>
            <w:tcW w:type="dxa" w:w="1938"/>
          </w:tcPr>
          <w:p>
            <w:r/>
            <w:r>
              <w:rPr>
                <w:rFonts w:ascii="Times New Roman" w:hAnsi="Times New Roman" w:eastAsia="Times New Roman"/>
                <w:sz w:val="22"/>
              </w:rPr>
              <w:t>44,484</w:t>
            </w:r>
          </w:p>
        </w:tc>
        <w:tc>
          <w:tcPr>
            <w:tcW w:type="dxa" w:w="1938"/>
          </w:tcPr>
          <w:p>
            <w:r/>
            <w:r>
              <w:rPr>
                <w:rFonts w:ascii="Times New Roman" w:hAnsi="Times New Roman" w:eastAsia="Times New Roman"/>
                <w:sz w:val="22"/>
              </w:rPr>
              <w:t>&lt;0,001</w:t>
            </w:r>
          </w:p>
        </w:tc>
        <w:tc>
          <w:tcPr>
            <w:tcW w:type="dxa" w:w="1938"/>
          </w:tcPr>
          <w:p>
            <w:r/>
            <w:r>
              <w:rPr>
                <w:rFonts w:ascii="Times New Roman" w:hAnsi="Times New Roman" w:eastAsia="Times New Roman"/>
                <w:sz w:val="22"/>
              </w:rPr>
              <w:t>0,365</w:t>
            </w:r>
          </w:p>
        </w:tc>
        <w:tc>
          <w:tcPr>
            <w:tcW w:type="dxa" w:w="1938"/>
          </w:tcPr>
          <w:p>
            <w:r/>
            <w:r>
              <w:rPr>
                <w:rFonts w:ascii="Times New Roman" w:hAnsi="Times New Roman" w:eastAsia="Times New Roman"/>
                <w:sz w:val="22"/>
              </w:rPr>
              <w:t>NHỎ — nữ &gt; nam đáng kể</w:t>
            </w:r>
          </w:p>
        </w:tc>
      </w:tr>
      <w:tr>
        <w:tc>
          <w:tcPr>
            <w:tcW w:type="dxa" w:w="1938"/>
          </w:tcPr>
          <w:p>
            <w:r/>
            <w:r>
              <w:rPr>
                <w:rFonts w:ascii="Times New Roman" w:hAnsi="Times New Roman" w:eastAsia="Times New Roman"/>
                <w:sz w:val="22"/>
              </w:rPr>
              <w:t>Lo âu xã hội (RLLAXH)</w:t>
            </w:r>
          </w:p>
        </w:tc>
        <w:tc>
          <w:tcPr>
            <w:tcW w:type="dxa" w:w="1938"/>
          </w:tcPr>
          <w:p>
            <w:r/>
            <w:r>
              <w:rPr>
                <w:rFonts w:ascii="Times New Roman" w:hAnsi="Times New Roman" w:eastAsia="Times New Roman"/>
                <w:sz w:val="22"/>
              </w:rPr>
              <w:t>45,984</w:t>
            </w:r>
          </w:p>
        </w:tc>
        <w:tc>
          <w:tcPr>
            <w:tcW w:type="dxa" w:w="1938"/>
          </w:tcPr>
          <w:p>
            <w:r/>
            <w:r>
              <w:rPr>
                <w:rFonts w:ascii="Times New Roman" w:hAnsi="Times New Roman" w:eastAsia="Times New Roman"/>
                <w:sz w:val="22"/>
              </w:rPr>
              <w:t>&lt;0,001</w:t>
            </w:r>
          </w:p>
        </w:tc>
        <w:tc>
          <w:tcPr>
            <w:tcW w:type="dxa" w:w="1938"/>
          </w:tcPr>
          <w:p>
            <w:r/>
            <w:r>
              <w:rPr>
                <w:rFonts w:ascii="Times New Roman" w:hAnsi="Times New Roman" w:eastAsia="Times New Roman"/>
                <w:sz w:val="22"/>
              </w:rPr>
              <w:t>0,370</w:t>
            </w:r>
          </w:p>
        </w:tc>
        <w:tc>
          <w:tcPr>
            <w:tcW w:type="dxa" w:w="1938"/>
          </w:tcPr>
          <w:p>
            <w:r/>
            <w:r>
              <w:rPr>
                <w:rFonts w:ascii="Times New Roman" w:hAnsi="Times New Roman" w:eastAsia="Times New Roman"/>
                <w:sz w:val="22"/>
              </w:rPr>
              <w:t>NHỎ — nữ &gt; nam đáng kể (gần bằng RLLATQ)</w:t>
            </w:r>
          </w:p>
        </w:tc>
      </w:tr>
      <w:tr>
        <w:tc>
          <w:tcPr>
            <w:tcW w:type="dxa" w:w="1938"/>
          </w:tcPr>
          <w:p>
            <w:r/>
            <w:r>
              <w:rPr>
                <w:rFonts w:ascii="Times New Roman" w:hAnsi="Times New Roman" w:eastAsia="Times New Roman"/>
                <w:sz w:val="22"/>
              </w:rPr>
              <w:t>Lo âu chia ly (RLLAC)</w:t>
            </w:r>
          </w:p>
        </w:tc>
        <w:tc>
          <w:tcPr>
            <w:tcW w:type="dxa" w:w="1938"/>
          </w:tcPr>
          <w:p>
            <w:r/>
            <w:r>
              <w:rPr>
                <w:rFonts w:ascii="Times New Roman" w:hAnsi="Times New Roman" w:eastAsia="Times New Roman"/>
                <w:sz w:val="22"/>
              </w:rPr>
              <w:t>0,246</w:t>
            </w:r>
          </w:p>
        </w:tc>
        <w:tc>
          <w:tcPr>
            <w:tcW w:type="dxa" w:w="1938"/>
          </w:tcPr>
          <w:p>
            <w:r/>
            <w:r>
              <w:rPr>
                <w:rFonts w:ascii="Times New Roman" w:hAnsi="Times New Roman" w:eastAsia="Times New Roman"/>
                <w:sz w:val="22"/>
              </w:rPr>
              <w:t>0,620</w:t>
            </w:r>
          </w:p>
        </w:tc>
        <w:tc>
          <w:tcPr>
            <w:tcW w:type="dxa" w:w="1938"/>
          </w:tcPr>
          <w:p>
            <w:r/>
            <w:r>
              <w:rPr>
                <w:rFonts w:ascii="Times New Roman" w:hAnsi="Times New Roman" w:eastAsia="Times New Roman"/>
                <w:sz w:val="22"/>
              </w:rPr>
              <w:t>≈ 0,03</w:t>
            </w:r>
          </w:p>
        </w:tc>
        <w:tc>
          <w:tcPr>
            <w:tcW w:type="dxa" w:w="1938"/>
          </w:tcPr>
          <w:p>
            <w:r/>
            <w:r>
              <w:rPr>
                <w:rFonts w:ascii="Times New Roman" w:hAnsi="Times New Roman" w:eastAsia="Times New Roman"/>
                <w:sz w:val="22"/>
              </w:rPr>
              <w:t>KHÔNG ĐÁNG KỂ — không có chênh lệch giới</w:t>
            </w:r>
          </w:p>
        </w:tc>
      </w:tr>
    </w:tbl>
    <w:p>
      <w:pPr>
        <w:spacing w:before="60" w:after="60" w:line="276" w:lineRule="auto"/>
        <w:ind w:firstLine="283"/>
        <w:jc w:val="both"/>
      </w:pPr>
      <w:r>
        <w:rPr>
          <w:rFonts w:ascii="Times New Roman" w:hAnsi="Times New Roman" w:eastAsia="Times New Roman"/>
          <w:sz w:val="24"/>
        </w:rPr>
        <w:t>Phù hợp pattern toàn cầu (Salk và cộng sự, 2017): giới khuếch đại nguy cơ đồng đều cho các phân nhóm lo âu nhận thức – đánh giá (tổng quát, xã hội) nhưng không khuếch đại cho phân nhóm dựa trên gắn bó (chia ly).</w:t>
      </w:r>
    </w:p>
    <w:p>
      <w:pPr>
        <w:spacing w:before="160" w:after="80" w:line="276" w:lineRule="auto"/>
      </w:pPr>
      <w:r>
        <w:rPr>
          <w:rFonts w:ascii="Times New Roman" w:hAnsi="Times New Roman" w:eastAsia="Times New Roman"/>
          <w:b/>
          <w:i/>
          <w:sz w:val="24"/>
        </w:rPr>
        <w:t>4. Chỉ số phù hợp mô hình SEM (Fit Indices)</w:t>
      </w:r>
    </w:p>
    <w:p>
      <w:pPr>
        <w:spacing w:before="60" w:after="60" w:line="276" w:lineRule="auto"/>
        <w:ind w:firstLine="283"/>
        <w:jc w:val="both"/>
      </w:pPr>
      <w:r>
        <w:rPr>
          <w:rFonts w:ascii="Times New Roman" w:hAnsi="Times New Roman" w:eastAsia="Times New Roman"/>
          <w:sz w:val="24"/>
        </w:rPr>
        <w:t>Ý nghĩa: Các chỉ số đánh giá mức độ mà mô hình lý thuyết (giả định bởi nhóm tác giả) phù hợp với cấu trúc covariance trong dữ liệu thực. Mô hình có fit tốt là điều kiện để các hệ số β được diễn giải đáng tin cậy.</w:t>
      </w:r>
    </w:p>
    <w:p>
      <w:pPr>
        <w:spacing w:before="60" w:after="60" w:line="276" w:lineRule="auto"/>
        <w:ind w:firstLine="283"/>
      </w:pPr>
      <w:r>
        <w:rPr>
          <w:rFonts w:ascii="Times New Roman" w:hAnsi="Times New Roman" w:eastAsia="Times New Roman"/>
          <w:b/>
          <w:sz w:val="24"/>
        </w:rPr>
        <w:t>Bốn chỉ số chính theo Hu và Bentler (1999):</w:t>
      </w:r>
    </w:p>
    <w:tbl>
      <w:tblPr>
        <w:tblStyle w:val="Light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sz w:val="22"/>
              </w:rPr>
              <w:t>Chỉ số</w:t>
            </w:r>
          </w:p>
        </w:tc>
        <w:tc>
          <w:tcPr>
            <w:tcW w:type="dxa" w:w="2422"/>
          </w:tcPr>
          <w:p>
            <w:r/>
            <w:r>
              <w:rPr>
                <w:rFonts w:ascii="Times New Roman" w:hAnsi="Times New Roman" w:eastAsia="Times New Roman"/>
                <w:b/>
                <w:sz w:val="22"/>
              </w:rPr>
              <w:t>Ngưỡng tốt</w:t>
            </w:r>
          </w:p>
        </w:tc>
        <w:tc>
          <w:tcPr>
            <w:tcW w:type="dxa" w:w="2422"/>
          </w:tcPr>
          <w:p>
            <w:r/>
            <w:r>
              <w:rPr>
                <w:rFonts w:ascii="Times New Roman" w:hAnsi="Times New Roman" w:eastAsia="Times New Roman"/>
                <w:b/>
                <w:sz w:val="22"/>
              </w:rPr>
              <w:t>Ngưỡng chấp nhận</w:t>
            </w:r>
          </w:p>
        </w:tc>
        <w:tc>
          <w:tcPr>
            <w:tcW w:type="dxa" w:w="2422"/>
          </w:tcPr>
          <w:p>
            <w:r/>
            <w:r>
              <w:rPr>
                <w:rFonts w:ascii="Times New Roman" w:hAnsi="Times New Roman" w:eastAsia="Times New Roman"/>
                <w:b/>
                <w:sz w:val="22"/>
              </w:rPr>
              <w:t>Ý nghĩa khi vượt ngưỡng kém</w:t>
            </w:r>
          </w:p>
        </w:tc>
      </w:tr>
      <w:tr>
        <w:tc>
          <w:tcPr>
            <w:tcW w:type="dxa" w:w="2422"/>
          </w:tcPr>
          <w:p>
            <w:r/>
            <w:r>
              <w:rPr>
                <w:rFonts w:ascii="Times New Roman" w:hAnsi="Times New Roman" w:eastAsia="Times New Roman"/>
                <w:sz w:val="22"/>
              </w:rPr>
              <w:t>CFI</w:t>
            </w:r>
          </w:p>
        </w:tc>
        <w:tc>
          <w:tcPr>
            <w:tcW w:type="dxa" w:w="2422"/>
          </w:tcPr>
          <w:p>
            <w:r/>
            <w:r>
              <w:rPr>
                <w:rFonts w:ascii="Times New Roman" w:hAnsi="Times New Roman" w:eastAsia="Times New Roman"/>
                <w:sz w:val="22"/>
              </w:rPr>
              <w:t>≥ 0,95</w:t>
            </w:r>
          </w:p>
        </w:tc>
        <w:tc>
          <w:tcPr>
            <w:tcW w:type="dxa" w:w="2422"/>
          </w:tcPr>
          <w:p>
            <w:r/>
            <w:r>
              <w:rPr>
                <w:rFonts w:ascii="Times New Roman" w:hAnsi="Times New Roman" w:eastAsia="Times New Roman"/>
                <w:sz w:val="22"/>
              </w:rPr>
              <w:t>≥ 0,90</w:t>
            </w:r>
          </w:p>
        </w:tc>
        <w:tc>
          <w:tcPr>
            <w:tcW w:type="dxa" w:w="2422"/>
          </w:tcPr>
          <w:p>
            <w:r/>
            <w:r>
              <w:rPr>
                <w:rFonts w:ascii="Times New Roman" w:hAnsi="Times New Roman" w:eastAsia="Times New Roman"/>
                <w:sz w:val="22"/>
              </w:rPr>
              <w:t>&lt; 0,90 → mô hình không phù hợp</w:t>
            </w:r>
          </w:p>
        </w:tc>
      </w:tr>
      <w:tr>
        <w:tc>
          <w:tcPr>
            <w:tcW w:type="dxa" w:w="2422"/>
          </w:tcPr>
          <w:p>
            <w:r/>
            <w:r>
              <w:rPr>
                <w:rFonts w:ascii="Times New Roman" w:hAnsi="Times New Roman" w:eastAsia="Times New Roman"/>
                <w:sz w:val="22"/>
              </w:rPr>
              <w:t>TLI</w:t>
            </w:r>
          </w:p>
        </w:tc>
        <w:tc>
          <w:tcPr>
            <w:tcW w:type="dxa" w:w="2422"/>
          </w:tcPr>
          <w:p>
            <w:r/>
            <w:r>
              <w:rPr>
                <w:rFonts w:ascii="Times New Roman" w:hAnsi="Times New Roman" w:eastAsia="Times New Roman"/>
                <w:sz w:val="22"/>
              </w:rPr>
              <w:t>≥ 0,95</w:t>
            </w:r>
          </w:p>
        </w:tc>
        <w:tc>
          <w:tcPr>
            <w:tcW w:type="dxa" w:w="2422"/>
          </w:tcPr>
          <w:p>
            <w:r/>
            <w:r>
              <w:rPr>
                <w:rFonts w:ascii="Times New Roman" w:hAnsi="Times New Roman" w:eastAsia="Times New Roman"/>
                <w:sz w:val="22"/>
              </w:rPr>
              <w:t>≥ 0,90</w:t>
            </w:r>
          </w:p>
        </w:tc>
        <w:tc>
          <w:tcPr>
            <w:tcW w:type="dxa" w:w="2422"/>
          </w:tcPr>
          <w:p>
            <w:r/>
            <w:r>
              <w:rPr>
                <w:rFonts w:ascii="Times New Roman" w:hAnsi="Times New Roman" w:eastAsia="Times New Roman"/>
                <w:sz w:val="22"/>
              </w:rPr>
              <w:t>&lt; 0,90 → mô hình không phù hợp</w:t>
            </w:r>
          </w:p>
        </w:tc>
      </w:tr>
      <w:tr>
        <w:tc>
          <w:tcPr>
            <w:tcW w:type="dxa" w:w="2422"/>
          </w:tcPr>
          <w:p>
            <w:r/>
            <w:r>
              <w:rPr>
                <w:rFonts w:ascii="Times New Roman" w:hAnsi="Times New Roman" w:eastAsia="Times New Roman"/>
                <w:sz w:val="22"/>
              </w:rPr>
              <w:t>RMSEA</w:t>
            </w:r>
          </w:p>
        </w:tc>
        <w:tc>
          <w:tcPr>
            <w:tcW w:type="dxa" w:w="2422"/>
          </w:tcPr>
          <w:p>
            <w:r/>
            <w:r>
              <w:rPr>
                <w:rFonts w:ascii="Times New Roman" w:hAnsi="Times New Roman" w:eastAsia="Times New Roman"/>
                <w:sz w:val="22"/>
              </w:rPr>
              <w:t>≤ 0,06</w:t>
            </w:r>
          </w:p>
        </w:tc>
        <w:tc>
          <w:tcPr>
            <w:tcW w:type="dxa" w:w="2422"/>
          </w:tcPr>
          <w:p>
            <w:r/>
            <w:r>
              <w:rPr>
                <w:rFonts w:ascii="Times New Roman" w:hAnsi="Times New Roman" w:eastAsia="Times New Roman"/>
                <w:sz w:val="22"/>
              </w:rPr>
              <w:t>≤ 0,08</w:t>
            </w:r>
          </w:p>
        </w:tc>
        <w:tc>
          <w:tcPr>
            <w:tcW w:type="dxa" w:w="2422"/>
          </w:tcPr>
          <w:p>
            <w:r/>
            <w:r>
              <w:rPr>
                <w:rFonts w:ascii="Times New Roman" w:hAnsi="Times New Roman" w:eastAsia="Times New Roman"/>
                <w:sz w:val="22"/>
              </w:rPr>
              <w:t>&gt; 0,10 → mô hình rất kém</w:t>
            </w:r>
          </w:p>
        </w:tc>
      </w:tr>
      <w:tr>
        <w:tc>
          <w:tcPr>
            <w:tcW w:type="dxa" w:w="2422"/>
          </w:tcPr>
          <w:p>
            <w:r/>
            <w:r>
              <w:rPr>
                <w:rFonts w:ascii="Times New Roman" w:hAnsi="Times New Roman" w:eastAsia="Times New Roman"/>
                <w:sz w:val="22"/>
              </w:rPr>
              <w:t>SRMR</w:t>
            </w:r>
          </w:p>
        </w:tc>
        <w:tc>
          <w:tcPr>
            <w:tcW w:type="dxa" w:w="2422"/>
          </w:tcPr>
          <w:p>
            <w:r/>
            <w:r>
              <w:rPr>
                <w:rFonts w:ascii="Times New Roman" w:hAnsi="Times New Roman" w:eastAsia="Times New Roman"/>
                <w:sz w:val="22"/>
              </w:rPr>
              <w:t>≤ 0,08</w:t>
            </w:r>
          </w:p>
        </w:tc>
        <w:tc>
          <w:tcPr>
            <w:tcW w:type="dxa" w:w="2422"/>
          </w:tcPr>
          <w:p>
            <w:r/>
            <w:r>
              <w:rPr>
                <w:rFonts w:ascii="Times New Roman" w:hAnsi="Times New Roman" w:eastAsia="Times New Roman"/>
                <w:sz w:val="22"/>
              </w:rPr>
              <w:t>≤ 0,10</w:t>
            </w:r>
          </w:p>
        </w:tc>
        <w:tc>
          <w:tcPr>
            <w:tcW w:type="dxa" w:w="2422"/>
          </w:tcPr>
          <w:p>
            <w:r/>
            <w:r>
              <w:rPr>
                <w:rFonts w:ascii="Times New Roman" w:hAnsi="Times New Roman" w:eastAsia="Times New Roman"/>
                <w:sz w:val="22"/>
              </w:rPr>
              <w:t>&gt; 0,10 → cần đánh giá lại</w:t>
            </w:r>
          </w:p>
        </w:tc>
      </w:tr>
    </w:tbl>
    <w:p>
      <w:pPr>
        <w:spacing w:before="60" w:after="60" w:line="276" w:lineRule="auto"/>
        <w:ind w:firstLine="283"/>
      </w:pPr>
      <w:r>
        <w:rPr>
          <w:rFonts w:ascii="Times New Roman" w:hAnsi="Times New Roman" w:eastAsia="Times New Roman"/>
          <w:b/>
          <w:sz w:val="24"/>
        </w:rPr>
        <w:t>Ví dụ trong bài:</w:t>
      </w:r>
    </w:p>
    <w:tbl>
      <w:tblPr>
        <w:tblStyle w:val="Light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sz w:val="22"/>
              </w:rPr>
              <w:t>Mô hình</w:t>
            </w:r>
          </w:p>
        </w:tc>
        <w:tc>
          <w:tcPr>
            <w:tcW w:type="dxa" w:w="2422"/>
          </w:tcPr>
          <w:p>
            <w:r/>
            <w:r>
              <w:rPr>
                <w:rFonts w:ascii="Times New Roman" w:hAnsi="Times New Roman" w:eastAsia="Times New Roman"/>
                <w:b/>
                <w:sz w:val="22"/>
              </w:rPr>
              <w:t>RMSEA</w:t>
            </w:r>
          </w:p>
        </w:tc>
        <w:tc>
          <w:tcPr>
            <w:tcW w:type="dxa" w:w="2422"/>
          </w:tcPr>
          <w:p>
            <w:r/>
            <w:r>
              <w:rPr>
                <w:rFonts w:ascii="Times New Roman" w:hAnsi="Times New Roman" w:eastAsia="Times New Roman"/>
                <w:b/>
                <w:sz w:val="22"/>
              </w:rPr>
              <w:t>CFI</w:t>
            </w:r>
          </w:p>
        </w:tc>
        <w:tc>
          <w:tcPr>
            <w:tcW w:type="dxa" w:w="2422"/>
          </w:tcPr>
          <w:p>
            <w:r/>
            <w:r>
              <w:rPr>
                <w:rFonts w:ascii="Times New Roman" w:hAnsi="Times New Roman" w:eastAsia="Times New Roman"/>
                <w:b/>
                <w:sz w:val="22"/>
              </w:rPr>
              <w:t>Kết luận</w:t>
            </w:r>
          </w:p>
        </w:tc>
      </w:tr>
      <w:tr>
        <w:tc>
          <w:tcPr>
            <w:tcW w:type="dxa" w:w="2422"/>
          </w:tcPr>
          <w:p>
            <w:r/>
            <w:r>
              <w:rPr>
                <w:rFonts w:ascii="Times New Roman" w:hAnsi="Times New Roman" w:eastAsia="Times New Roman"/>
                <w:sz w:val="22"/>
              </w:rPr>
              <w:t>BNHĐ → RLLA (2 nhân tố)</w:t>
            </w:r>
          </w:p>
        </w:tc>
        <w:tc>
          <w:tcPr>
            <w:tcW w:type="dxa" w:w="2422"/>
          </w:tcPr>
          <w:p>
            <w:r/>
            <w:r>
              <w:rPr>
                <w:rFonts w:ascii="Times New Roman" w:hAnsi="Times New Roman" w:eastAsia="Times New Roman"/>
                <w:sz w:val="22"/>
              </w:rPr>
              <w:t>0,030</w:t>
            </w:r>
          </w:p>
        </w:tc>
        <w:tc>
          <w:tcPr>
            <w:tcW w:type="dxa" w:w="2422"/>
          </w:tcPr>
          <w:p>
            <w:r/>
            <w:r>
              <w:rPr>
                <w:rFonts w:ascii="Times New Roman" w:hAnsi="Times New Roman" w:eastAsia="Times New Roman"/>
                <w:sz w:val="22"/>
              </w:rPr>
              <w:t>0,999</w:t>
            </w:r>
          </w:p>
        </w:tc>
        <w:tc>
          <w:tcPr>
            <w:tcW w:type="dxa" w:w="2422"/>
          </w:tcPr>
          <w:p>
            <w:r/>
            <w:r>
              <w:rPr>
                <w:rFonts w:ascii="Times New Roman" w:hAnsi="Times New Roman" w:eastAsia="Times New Roman"/>
                <w:sz w:val="22"/>
              </w:rPr>
              <w:t>XUẤT SẮC — được ưu tiên báo cáo</w:t>
            </w:r>
          </w:p>
        </w:tc>
      </w:tr>
      <w:tr>
        <w:tc>
          <w:tcPr>
            <w:tcW w:type="dxa" w:w="2422"/>
          </w:tcPr>
          <w:p>
            <w:r/>
            <w:r>
              <w:rPr>
                <w:rFonts w:ascii="Times New Roman" w:hAnsi="Times New Roman" w:eastAsia="Times New Roman"/>
                <w:sz w:val="22"/>
              </w:rPr>
              <w:t>BNHĐ → RLLA (3 nhân tố)</w:t>
            </w:r>
          </w:p>
        </w:tc>
        <w:tc>
          <w:tcPr>
            <w:tcW w:type="dxa" w:w="2422"/>
          </w:tcPr>
          <w:p>
            <w:r/>
            <w:r>
              <w:rPr>
                <w:rFonts w:ascii="Times New Roman" w:hAnsi="Times New Roman" w:eastAsia="Times New Roman"/>
                <w:sz w:val="22"/>
              </w:rPr>
              <w:t>0,129</w:t>
            </w:r>
          </w:p>
        </w:tc>
        <w:tc>
          <w:tcPr>
            <w:tcW w:type="dxa" w:w="2422"/>
          </w:tcPr>
          <w:p>
            <w:r/>
            <w:r>
              <w:rPr>
                <w:rFonts w:ascii="Times New Roman" w:hAnsi="Times New Roman" w:eastAsia="Times New Roman"/>
                <w:sz w:val="22"/>
              </w:rPr>
              <w:t>—</w:t>
            </w:r>
          </w:p>
        </w:tc>
        <w:tc>
          <w:tcPr>
            <w:tcW w:type="dxa" w:w="2422"/>
          </w:tcPr>
          <w:p>
            <w:r/>
            <w:r>
              <w:rPr>
                <w:rFonts w:ascii="Times New Roman" w:hAnsi="Times New Roman" w:eastAsia="Times New Roman"/>
                <w:sz w:val="22"/>
              </w:rPr>
              <w:t>KÉM — cần thận trọng</w:t>
            </w:r>
          </w:p>
        </w:tc>
      </w:tr>
      <w:tr>
        <w:tc>
          <w:tcPr>
            <w:tcW w:type="dxa" w:w="2422"/>
          </w:tcPr>
          <w:p>
            <w:r/>
            <w:r>
              <w:rPr>
                <w:rFonts w:ascii="Times New Roman" w:hAnsi="Times New Roman" w:eastAsia="Times New Roman"/>
                <w:sz w:val="22"/>
              </w:rPr>
              <w:t>BPĐP → RLLA</w:t>
            </w:r>
          </w:p>
        </w:tc>
        <w:tc>
          <w:tcPr>
            <w:tcW w:type="dxa" w:w="2422"/>
          </w:tcPr>
          <w:p>
            <w:r/>
            <w:r>
              <w:rPr>
                <w:rFonts w:ascii="Times New Roman" w:hAnsi="Times New Roman" w:eastAsia="Times New Roman"/>
                <w:sz w:val="22"/>
              </w:rPr>
              <w:t>0,080 – 0,204</w:t>
            </w:r>
          </w:p>
        </w:tc>
        <w:tc>
          <w:tcPr>
            <w:tcW w:type="dxa" w:w="2422"/>
          </w:tcPr>
          <w:p>
            <w:r/>
            <w:r>
              <w:rPr>
                <w:rFonts w:ascii="Times New Roman" w:hAnsi="Times New Roman" w:eastAsia="Times New Roman"/>
                <w:sz w:val="22"/>
              </w:rPr>
              <w:t>0,865 – 0,911</w:t>
            </w:r>
          </w:p>
        </w:tc>
        <w:tc>
          <w:tcPr>
            <w:tcW w:type="dxa" w:w="2422"/>
          </w:tcPr>
          <w:p>
            <w:r/>
            <w:r>
              <w:rPr>
                <w:rFonts w:ascii="Times New Roman" w:hAnsi="Times New Roman" w:eastAsia="Times New Roman"/>
                <w:sz w:val="22"/>
              </w:rPr>
              <w:t>KÉM trên mọi tổ hợp — diễn giải EXPLORATORY</w:t>
            </w:r>
          </w:p>
        </w:tc>
      </w:tr>
    </w:tbl>
    <w:p>
      <w:pPr>
        <w:spacing w:before="60" w:after="60" w:line="276" w:lineRule="auto"/>
        <w:ind w:firstLine="283"/>
        <w:jc w:val="both"/>
      </w:pPr>
      <w:r>
        <w:rPr>
          <w:rFonts w:ascii="Times New Roman" w:hAnsi="Times New Roman" w:eastAsia="Times New Roman"/>
          <w:sz w:val="24"/>
        </w:rPr>
        <w:t>Quan trọng: khi mô hình có fit kém (như BPĐP trong bài), hệ số β rất lớn (0,749) không thể được hiểu là hiệu ứng nhân quả một chiều. Cách diễn giải đúng là quan hệ hai chiều (bidirectional escalation): đối phó kém thích nghi vừa khuếch đại vừa được khuếch đại bởi lo âu (Compas và cộng sự, 2017).</w:t>
      </w:r>
    </w:p>
    <w:p>
      <w:pPr>
        <w:spacing w:before="160" w:after="80" w:line="276" w:lineRule="auto"/>
      </w:pPr>
      <w:r>
        <w:rPr>
          <w:rFonts w:ascii="Times New Roman" w:hAnsi="Times New Roman" w:eastAsia="Times New Roman"/>
          <w:b/>
          <w:i/>
          <w:sz w:val="24"/>
        </w:rPr>
        <w:t>5. Tỷ số |β| (so sánh cường độ giữa các yếu tố)</w:t>
      </w:r>
    </w:p>
    <w:p>
      <w:pPr>
        <w:spacing w:before="60" w:after="60" w:line="276" w:lineRule="auto"/>
        <w:ind w:firstLine="283"/>
        <w:jc w:val="both"/>
      </w:pPr>
      <w:r>
        <w:rPr>
          <w:rFonts w:ascii="Times New Roman" w:hAnsi="Times New Roman" w:eastAsia="Times New Roman"/>
          <w:sz w:val="24"/>
        </w:rPr>
        <w:t>Ý nghĩa: Tỷ số |β yếu tố A| / |β yếu tố B| cho biết cường độ tương đối giữa hai yếu tố cùng dự báo một kết cục. Tỷ số gần 1 → cường độ ngang nhau; tỷ số &gt; 1 → yếu tố A mạnh hơn; tỷ số &lt; 1 → yếu tố B mạnh hơn.</w:t>
      </w:r>
    </w:p>
    <w:p>
      <w:pPr>
        <w:spacing w:before="60" w:after="60" w:line="276" w:lineRule="auto"/>
        <w:ind w:firstLine="283"/>
      </w:pPr>
      <w:r>
        <w:rPr>
          <w:rFonts w:ascii="Times New Roman" w:hAnsi="Times New Roman" w:eastAsia="Times New Roman"/>
          <w:b/>
          <w:sz w:val="24"/>
        </w:rPr>
        <w:t>Ví dụ trong bài (Lòng tự trọng so với Áp lực học tập):</w:t>
      </w:r>
    </w:p>
    <w:tbl>
      <w:tblPr>
        <w:tblStyle w:val="LightGrid"/>
        <w:tblW w:type="auto" w:w="0"/>
        <w:tblLook w:firstColumn="1" w:firstRow="1" w:lastColumn="0" w:lastRow="0" w:noHBand="0" w:noVBand="1" w:val="04A0"/>
      </w:tblPr>
      <w:tblGrid>
        <w:gridCol w:w="1938"/>
        <w:gridCol w:w="1938"/>
        <w:gridCol w:w="1938"/>
        <w:gridCol w:w="1938"/>
        <w:gridCol w:w="1938"/>
      </w:tblGrid>
      <w:tr>
        <w:tc>
          <w:tcPr>
            <w:tcW w:type="dxa" w:w="1938"/>
          </w:tcPr>
          <w:p>
            <w:r/>
            <w:r>
              <w:rPr>
                <w:rFonts w:ascii="Times New Roman" w:hAnsi="Times New Roman" w:eastAsia="Times New Roman"/>
                <w:b/>
                <w:sz w:val="22"/>
              </w:rPr>
              <w:t>Phân nhóm lo âu</w:t>
            </w:r>
          </w:p>
        </w:tc>
        <w:tc>
          <w:tcPr>
            <w:tcW w:type="dxa" w:w="1938"/>
          </w:tcPr>
          <w:p>
            <w:r/>
            <w:r>
              <w:rPr>
                <w:rFonts w:ascii="Times New Roman" w:hAnsi="Times New Roman" w:eastAsia="Times New Roman"/>
                <w:b/>
                <w:sz w:val="22"/>
              </w:rPr>
              <w:t>|β TTr|</w:t>
            </w:r>
          </w:p>
        </w:tc>
        <w:tc>
          <w:tcPr>
            <w:tcW w:type="dxa" w:w="1938"/>
          </w:tcPr>
          <w:p>
            <w:r/>
            <w:r>
              <w:rPr>
                <w:rFonts w:ascii="Times New Roman" w:hAnsi="Times New Roman" w:eastAsia="Times New Roman"/>
                <w:b/>
                <w:sz w:val="22"/>
              </w:rPr>
              <w:t>|β ALHT|</w:t>
            </w:r>
          </w:p>
        </w:tc>
        <w:tc>
          <w:tcPr>
            <w:tcW w:type="dxa" w:w="1938"/>
          </w:tcPr>
          <w:p>
            <w:r/>
            <w:r>
              <w:rPr>
                <w:rFonts w:ascii="Times New Roman" w:hAnsi="Times New Roman" w:eastAsia="Times New Roman"/>
                <w:b/>
                <w:sz w:val="22"/>
              </w:rPr>
              <w:t>Tỷ số</w:t>
            </w:r>
          </w:p>
        </w:tc>
        <w:tc>
          <w:tcPr>
            <w:tcW w:type="dxa" w:w="1938"/>
          </w:tcPr>
          <w:p>
            <w:r/>
            <w:r>
              <w:rPr>
                <w:rFonts w:ascii="Times New Roman" w:hAnsi="Times New Roman" w:eastAsia="Times New Roman"/>
                <w:b/>
                <w:sz w:val="22"/>
              </w:rPr>
              <w:t>Diễn giải</w:t>
            </w:r>
          </w:p>
        </w:tc>
      </w:tr>
      <w:tr>
        <w:tc>
          <w:tcPr>
            <w:tcW w:type="dxa" w:w="1938"/>
          </w:tcPr>
          <w:p>
            <w:r/>
            <w:r>
              <w:rPr>
                <w:rFonts w:ascii="Times New Roman" w:hAnsi="Times New Roman" w:eastAsia="Times New Roman"/>
                <w:sz w:val="22"/>
              </w:rPr>
              <w:t>Lo âu tổng quát</w:t>
            </w:r>
          </w:p>
        </w:tc>
        <w:tc>
          <w:tcPr>
            <w:tcW w:type="dxa" w:w="1938"/>
          </w:tcPr>
          <w:p>
            <w:r/>
            <w:r>
              <w:rPr>
                <w:rFonts w:ascii="Times New Roman" w:hAnsi="Times New Roman" w:eastAsia="Times New Roman"/>
                <w:sz w:val="22"/>
              </w:rPr>
              <w:t>0,455</w:t>
            </w:r>
          </w:p>
        </w:tc>
        <w:tc>
          <w:tcPr>
            <w:tcW w:type="dxa" w:w="1938"/>
          </w:tcPr>
          <w:p>
            <w:r/>
            <w:r>
              <w:rPr>
                <w:rFonts w:ascii="Times New Roman" w:hAnsi="Times New Roman" w:eastAsia="Times New Roman"/>
                <w:sz w:val="22"/>
              </w:rPr>
              <w:t>0,510</w:t>
            </w:r>
          </w:p>
        </w:tc>
        <w:tc>
          <w:tcPr>
            <w:tcW w:type="dxa" w:w="1938"/>
          </w:tcPr>
          <w:p>
            <w:r/>
            <w:r>
              <w:rPr>
                <w:rFonts w:ascii="Times New Roman" w:hAnsi="Times New Roman" w:eastAsia="Times New Roman"/>
                <w:sz w:val="22"/>
              </w:rPr>
              <w:t>0,892</w:t>
            </w:r>
          </w:p>
        </w:tc>
        <w:tc>
          <w:tcPr>
            <w:tcW w:type="dxa" w:w="1938"/>
          </w:tcPr>
          <w:p>
            <w:r/>
            <w:r>
              <w:rPr>
                <w:rFonts w:ascii="Times New Roman" w:hAnsi="Times New Roman" w:eastAsia="Times New Roman"/>
                <w:sz w:val="22"/>
              </w:rPr>
              <w:t>GẦN NGANG — tự trọng yếu hơn áp lực học tập chỉ ~10%</w:t>
            </w:r>
          </w:p>
        </w:tc>
      </w:tr>
      <w:tr>
        <w:tc>
          <w:tcPr>
            <w:tcW w:type="dxa" w:w="1938"/>
          </w:tcPr>
          <w:p>
            <w:r/>
            <w:r>
              <w:rPr>
                <w:rFonts w:ascii="Times New Roman" w:hAnsi="Times New Roman" w:eastAsia="Times New Roman"/>
                <w:sz w:val="22"/>
              </w:rPr>
              <w:t>Lo âu xã hội</w:t>
            </w:r>
          </w:p>
        </w:tc>
        <w:tc>
          <w:tcPr>
            <w:tcW w:type="dxa" w:w="1938"/>
          </w:tcPr>
          <w:p>
            <w:r/>
            <w:r>
              <w:rPr>
                <w:rFonts w:ascii="Times New Roman" w:hAnsi="Times New Roman" w:eastAsia="Times New Roman"/>
                <w:sz w:val="22"/>
              </w:rPr>
              <w:t>0,415</w:t>
            </w:r>
          </w:p>
        </w:tc>
        <w:tc>
          <w:tcPr>
            <w:tcW w:type="dxa" w:w="1938"/>
          </w:tcPr>
          <w:p>
            <w:r/>
            <w:r>
              <w:rPr>
                <w:rFonts w:ascii="Times New Roman" w:hAnsi="Times New Roman" w:eastAsia="Times New Roman"/>
                <w:sz w:val="22"/>
              </w:rPr>
              <w:t>0,490</w:t>
            </w:r>
          </w:p>
        </w:tc>
        <w:tc>
          <w:tcPr>
            <w:tcW w:type="dxa" w:w="1938"/>
          </w:tcPr>
          <w:p>
            <w:r/>
            <w:r>
              <w:rPr>
                <w:rFonts w:ascii="Times New Roman" w:hAnsi="Times New Roman" w:eastAsia="Times New Roman"/>
                <w:sz w:val="22"/>
              </w:rPr>
              <w:t>0,847</w:t>
            </w:r>
          </w:p>
        </w:tc>
        <w:tc>
          <w:tcPr>
            <w:tcW w:type="dxa" w:w="1938"/>
          </w:tcPr>
          <w:p>
            <w:r/>
            <w:r>
              <w:rPr>
                <w:rFonts w:ascii="Times New Roman" w:hAnsi="Times New Roman" w:eastAsia="Times New Roman"/>
                <w:sz w:val="22"/>
              </w:rPr>
              <w:t>GẦN NGANG — tự trọng yếu hơn áp lực học tập ~15%</w:t>
            </w:r>
          </w:p>
        </w:tc>
      </w:tr>
      <w:tr>
        <w:tc>
          <w:tcPr>
            <w:tcW w:type="dxa" w:w="1938"/>
          </w:tcPr>
          <w:p>
            <w:r/>
            <w:r>
              <w:rPr>
                <w:rFonts w:ascii="Times New Roman" w:hAnsi="Times New Roman" w:eastAsia="Times New Roman"/>
                <w:sz w:val="22"/>
              </w:rPr>
              <w:t>Lo âu chia ly</w:t>
            </w:r>
          </w:p>
        </w:tc>
        <w:tc>
          <w:tcPr>
            <w:tcW w:type="dxa" w:w="1938"/>
          </w:tcPr>
          <w:p>
            <w:r/>
            <w:r>
              <w:rPr>
                <w:rFonts w:ascii="Times New Roman" w:hAnsi="Times New Roman" w:eastAsia="Times New Roman"/>
                <w:sz w:val="22"/>
              </w:rPr>
              <w:t>0,087</w:t>
            </w:r>
          </w:p>
        </w:tc>
        <w:tc>
          <w:tcPr>
            <w:tcW w:type="dxa" w:w="1938"/>
          </w:tcPr>
          <w:p>
            <w:r/>
            <w:r>
              <w:rPr>
                <w:rFonts w:ascii="Times New Roman" w:hAnsi="Times New Roman" w:eastAsia="Times New Roman"/>
                <w:sz w:val="22"/>
              </w:rPr>
              <w:t>0,253</w:t>
            </w:r>
          </w:p>
        </w:tc>
        <w:tc>
          <w:tcPr>
            <w:tcW w:type="dxa" w:w="1938"/>
          </w:tcPr>
          <w:p>
            <w:r/>
            <w:r>
              <w:rPr>
                <w:rFonts w:ascii="Times New Roman" w:hAnsi="Times New Roman" w:eastAsia="Times New Roman"/>
                <w:sz w:val="22"/>
              </w:rPr>
              <w:t>0,344</w:t>
            </w:r>
          </w:p>
        </w:tc>
        <w:tc>
          <w:tcPr>
            <w:tcW w:type="dxa" w:w="1938"/>
          </w:tcPr>
          <w:p>
            <w:r/>
            <w:r>
              <w:rPr>
                <w:rFonts w:ascii="Times New Roman" w:hAnsi="Times New Roman" w:eastAsia="Times New Roman"/>
                <w:sz w:val="22"/>
              </w:rPr>
              <w:t>ÍT NGANG — tự trọng yếu hơn áp lực học tập rất nhiều</w:t>
            </w:r>
          </w:p>
        </w:tc>
      </w:tr>
    </w:tbl>
    <w:p>
      <w:pPr>
        <w:spacing w:before="60" w:after="60" w:line="276" w:lineRule="auto"/>
        <w:ind w:firstLine="283"/>
        <w:jc w:val="both"/>
      </w:pPr>
      <w:r>
        <w:rPr>
          <w:rFonts w:ascii="Times New Roman" w:hAnsi="Times New Roman" w:eastAsia="Times New Roman"/>
          <w:sz w:val="24"/>
        </w:rPr>
        <w:t>Phát hiện đặc thù: ở hai phân nhóm lo âu nhận thức – đánh giá (tổng quát + xã hội), lòng tự trọng có cường độ NGANG với áp lực học tập, gợi ý lòng tự trọng có thể là một mục tiêu can thiệp song song hiệu quả như giảm áp lực học tập.</w:t>
      </w:r>
    </w:p>
    <w:p>
      <w:pPr>
        <w:spacing w:before="160" w:after="80" w:line="276" w:lineRule="auto"/>
      </w:pPr>
      <w:r>
        <w:rPr>
          <w:rFonts w:ascii="Times New Roman" w:hAnsi="Times New Roman" w:eastAsia="Times New Roman"/>
          <w:b/>
          <w:i/>
          <w:sz w:val="24"/>
        </w:rPr>
        <w:t>6. Khoảng tin cậy 95% (KTC 95% / 95% CI)</w:t>
      </w:r>
    </w:p>
    <w:p>
      <w:pPr>
        <w:spacing w:before="60" w:after="60" w:line="276" w:lineRule="auto"/>
        <w:ind w:firstLine="283"/>
        <w:jc w:val="both"/>
      </w:pPr>
      <w:r>
        <w:rPr>
          <w:rFonts w:ascii="Times New Roman" w:hAnsi="Times New Roman" w:eastAsia="Times New Roman"/>
          <w:sz w:val="24"/>
        </w:rPr>
        <w:t>Ý nghĩa: KTC 95% là khoảng giá trị mà ta có 95% tin cậy rằng giá trị tham số thật của tổng thể nằm trong đó. KTC hẹp → ước lượng chính xác; KTC rộng → ước lượng kém chính xác.</w:t>
      </w:r>
    </w:p>
    <w:p>
      <w:pPr>
        <w:spacing w:before="60" w:after="60" w:line="276" w:lineRule="auto"/>
        <w:ind w:firstLine="283"/>
        <w:jc w:val="both"/>
      </w:pPr>
      <w:r>
        <w:rPr>
          <w:rFonts w:ascii="Times New Roman" w:hAnsi="Times New Roman" w:eastAsia="Times New Roman"/>
          <w:sz w:val="24"/>
        </w:rPr>
        <w:t>Quy tắc kiểm định ý nghĩa: nếu KTC 95% KHÔNG chứa số 0, hệ số có ý nghĩa thống kê ở mức α = 0,05.</w:t>
      </w:r>
    </w:p>
    <w:p>
      <w:pPr>
        <w:spacing w:before="60" w:after="60" w:line="276" w:lineRule="auto"/>
        <w:ind w:firstLine="283"/>
        <w:jc w:val="both"/>
      </w:pPr>
      <w:r>
        <w:rPr>
          <w:rFonts w:ascii="Times New Roman" w:hAnsi="Times New Roman" w:eastAsia="Times New Roman"/>
          <w:sz w:val="24"/>
        </w:rPr>
        <w:t>Ví dụ trong bài: SMD của Cai và cộng sự (2025) = 0,17 (KTC 95% 0,06 – 0,29). Khoảng này không chứa 0 → hiệu ứng có ý nghĩa thống kê, mặc dù độ lớn nhỏ.</w:t>
      </w:r>
    </w:p>
    <w:p>
      <w:pPr>
        <w:spacing w:before="160" w:after="80" w:line="276" w:lineRule="auto"/>
      </w:pPr>
      <w:r>
        <w:rPr>
          <w:rFonts w:ascii="Times New Roman" w:hAnsi="Times New Roman" w:eastAsia="Times New Roman"/>
          <w:b/>
          <w:i/>
          <w:sz w:val="24"/>
        </w:rPr>
        <w:t>7. Giá trị p (mức ý nghĩa thống kê)</w:t>
      </w:r>
    </w:p>
    <w:p>
      <w:pPr>
        <w:spacing w:before="60" w:after="60" w:line="276" w:lineRule="auto"/>
        <w:ind w:firstLine="283"/>
        <w:jc w:val="both"/>
      </w:pPr>
      <w:r>
        <w:rPr>
          <w:rFonts w:ascii="Times New Roman" w:hAnsi="Times New Roman" w:eastAsia="Times New Roman"/>
          <w:sz w:val="24"/>
        </w:rPr>
        <w:t>Ý nghĩa: p-value là xác suất quan sát được kết quả hiện tại (hoặc cực đoan hơn) với giả định rằng giả thuyết không (H0) đúng. p càng nhỏ → bằng chứng càng mạnh chống H0.</w:t>
      </w:r>
    </w:p>
    <w:p>
      <w:pPr>
        <w:spacing w:before="60" w:after="60" w:line="276" w:lineRule="auto"/>
        <w:ind w:firstLine="283"/>
        <w:jc w:val="both"/>
      </w:pPr>
      <w:r>
        <w:rPr>
          <w:rFonts w:ascii="Times New Roman" w:hAnsi="Times New Roman" w:eastAsia="Times New Roman"/>
          <w:sz w:val="24"/>
        </w:rPr>
        <w:t>Ngưỡng thông thường: p &lt; 0,001 (rất có ý nghĩa); p &lt; 0,01 (có ý nghĩa cao); p &lt; 0,05 (có ý nghĩa); p ≥ 0,05 (không có ý nghĩa thống kê).</w:t>
      </w:r>
    </w:p>
    <w:p>
      <w:pPr>
        <w:spacing w:before="60" w:after="60" w:line="276" w:lineRule="auto"/>
        <w:ind w:firstLine="283"/>
        <w:jc w:val="both"/>
      </w:pPr>
      <w:r>
        <w:rPr>
          <w:rFonts w:ascii="Times New Roman" w:hAnsi="Times New Roman" w:eastAsia="Times New Roman"/>
          <w:sz w:val="24"/>
        </w:rPr>
        <w:t>Ví dụ trong bài: β HTCM → RLLAC = 0,000 với p = 0,997 → KHÔNG có ý nghĩa thống kê → hỗ trợ cha mẹ KHÔNG có tác động trực tiếp lên lo âu chia ly trong mẫu này. Đây là phát hiện đặc thù văn hóa Á.</w:t>
      </w:r>
    </w:p>
    <w:p>
      <w:pPr>
        <w:spacing w:before="160" w:after="80" w:line="276" w:lineRule="auto"/>
      </w:pPr>
      <w:r>
        <w:rPr>
          <w:rFonts w:ascii="Times New Roman" w:hAnsi="Times New Roman" w:eastAsia="Times New Roman"/>
          <w:b/>
          <w:i/>
          <w:sz w:val="24"/>
        </w:rPr>
        <w:t>8. SMD, OR, r — các thước đo hiệu ứng phổ biến khác</w:t>
      </w:r>
    </w:p>
    <w:tbl>
      <w:tblPr>
        <w:tblStyle w:val="Light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eastAsia="Times New Roman"/>
                <w:b/>
                <w:sz w:val="22"/>
              </w:rPr>
              <w:t>Chỉ số</w:t>
            </w:r>
          </w:p>
        </w:tc>
        <w:tc>
          <w:tcPr>
            <w:tcW w:type="dxa" w:w="2422"/>
          </w:tcPr>
          <w:p>
            <w:r/>
            <w:r>
              <w:rPr>
                <w:rFonts w:ascii="Times New Roman" w:hAnsi="Times New Roman" w:eastAsia="Times New Roman"/>
                <w:b/>
                <w:sz w:val="22"/>
              </w:rPr>
              <w:t>Tên đầy đủ</w:t>
            </w:r>
          </w:p>
        </w:tc>
        <w:tc>
          <w:tcPr>
            <w:tcW w:type="dxa" w:w="2422"/>
          </w:tcPr>
          <w:p>
            <w:r/>
            <w:r>
              <w:rPr>
                <w:rFonts w:ascii="Times New Roman" w:hAnsi="Times New Roman" w:eastAsia="Times New Roman"/>
                <w:b/>
                <w:sz w:val="22"/>
              </w:rPr>
              <w:t>Ý nghĩa</w:t>
            </w:r>
          </w:p>
        </w:tc>
        <w:tc>
          <w:tcPr>
            <w:tcW w:type="dxa" w:w="2422"/>
          </w:tcPr>
          <w:p>
            <w:r/>
            <w:r>
              <w:rPr>
                <w:rFonts w:ascii="Times New Roman" w:hAnsi="Times New Roman" w:eastAsia="Times New Roman"/>
                <w:b/>
                <w:sz w:val="22"/>
              </w:rPr>
              <w:t>Ngưỡng</w:t>
            </w:r>
          </w:p>
        </w:tc>
      </w:tr>
      <w:tr>
        <w:tc>
          <w:tcPr>
            <w:tcW w:type="dxa" w:w="2422"/>
          </w:tcPr>
          <w:p>
            <w:r/>
            <w:r>
              <w:rPr>
                <w:rFonts w:ascii="Times New Roman" w:hAnsi="Times New Roman" w:eastAsia="Times New Roman"/>
                <w:sz w:val="22"/>
              </w:rPr>
              <w:t>SMD</w:t>
            </w:r>
          </w:p>
        </w:tc>
        <w:tc>
          <w:tcPr>
            <w:tcW w:type="dxa" w:w="2422"/>
          </w:tcPr>
          <w:p>
            <w:r/>
            <w:r>
              <w:rPr>
                <w:rFonts w:ascii="Times New Roman" w:hAnsi="Times New Roman" w:eastAsia="Times New Roman"/>
                <w:sz w:val="22"/>
              </w:rPr>
              <w:t>Standardized Mean Difference</w:t>
            </w:r>
          </w:p>
        </w:tc>
        <w:tc>
          <w:tcPr>
            <w:tcW w:type="dxa" w:w="2422"/>
          </w:tcPr>
          <w:p>
            <w:r/>
            <w:r>
              <w:rPr>
                <w:rFonts w:ascii="Times New Roman" w:hAnsi="Times New Roman" w:eastAsia="Times New Roman"/>
                <w:sz w:val="22"/>
              </w:rPr>
              <w:t>Chênh lệch trung bình chuẩn hóa giữa hai nhóm (dùng trong phân tích tổng hợp)</w:t>
            </w:r>
          </w:p>
        </w:tc>
        <w:tc>
          <w:tcPr>
            <w:tcW w:type="dxa" w:w="2422"/>
          </w:tcPr>
          <w:p>
            <w:r/>
            <w:r>
              <w:rPr>
                <w:rFonts w:ascii="Times New Roman" w:hAnsi="Times New Roman" w:eastAsia="Times New Roman"/>
                <w:sz w:val="22"/>
              </w:rPr>
              <w:t>0,2 nhỏ; 0,5 trung bình; 0,8 lớn</w:t>
            </w:r>
          </w:p>
        </w:tc>
      </w:tr>
      <w:tr>
        <w:tc>
          <w:tcPr>
            <w:tcW w:type="dxa" w:w="2422"/>
          </w:tcPr>
          <w:p>
            <w:r/>
            <w:r>
              <w:rPr>
                <w:rFonts w:ascii="Times New Roman" w:hAnsi="Times New Roman" w:eastAsia="Times New Roman"/>
                <w:sz w:val="22"/>
              </w:rPr>
              <w:t>OR</w:t>
            </w:r>
          </w:p>
        </w:tc>
        <w:tc>
          <w:tcPr>
            <w:tcW w:type="dxa" w:w="2422"/>
          </w:tcPr>
          <w:p>
            <w:r/>
            <w:r>
              <w:rPr>
                <w:rFonts w:ascii="Times New Roman" w:hAnsi="Times New Roman" w:eastAsia="Times New Roman"/>
                <w:sz w:val="22"/>
              </w:rPr>
              <w:t>Odds Ratio (tỷ số chênh)</w:t>
            </w:r>
          </w:p>
        </w:tc>
        <w:tc>
          <w:tcPr>
            <w:tcW w:type="dxa" w:w="2422"/>
          </w:tcPr>
          <w:p>
            <w:r/>
            <w:r>
              <w:rPr>
                <w:rFonts w:ascii="Times New Roman" w:hAnsi="Times New Roman" w:eastAsia="Times New Roman"/>
                <w:sz w:val="22"/>
              </w:rPr>
              <w:t>Xác suất xảy ra sự kiện ở nhóm phơi nhiễm chia cho nhóm không phơi nhiễm</w:t>
            </w:r>
          </w:p>
        </w:tc>
        <w:tc>
          <w:tcPr>
            <w:tcW w:type="dxa" w:w="2422"/>
          </w:tcPr>
          <w:p>
            <w:r/>
            <w:r>
              <w:rPr>
                <w:rFonts w:ascii="Times New Roman" w:hAnsi="Times New Roman" w:eastAsia="Times New Roman"/>
                <w:sz w:val="22"/>
              </w:rPr>
              <w:t>1 = không khác biệt; &gt; 1 tăng nguy cơ; &lt; 1 giảm nguy cơ</w:t>
            </w:r>
          </w:p>
        </w:tc>
      </w:tr>
      <w:tr>
        <w:tc>
          <w:tcPr>
            <w:tcW w:type="dxa" w:w="2422"/>
          </w:tcPr>
          <w:p>
            <w:r/>
            <w:r>
              <w:rPr>
                <w:rFonts w:ascii="Times New Roman" w:hAnsi="Times New Roman" w:eastAsia="Times New Roman"/>
                <w:sz w:val="22"/>
              </w:rPr>
              <w:t>r</w:t>
            </w:r>
          </w:p>
        </w:tc>
        <w:tc>
          <w:tcPr>
            <w:tcW w:type="dxa" w:w="2422"/>
          </w:tcPr>
          <w:p>
            <w:r/>
            <w:r>
              <w:rPr>
                <w:rFonts w:ascii="Times New Roman" w:hAnsi="Times New Roman" w:eastAsia="Times New Roman"/>
                <w:sz w:val="22"/>
              </w:rPr>
              <w:t>Hệ số tương quan Pearson</w:t>
            </w:r>
          </w:p>
        </w:tc>
        <w:tc>
          <w:tcPr>
            <w:tcW w:type="dxa" w:w="2422"/>
          </w:tcPr>
          <w:p>
            <w:r/>
            <w:r>
              <w:rPr>
                <w:rFonts w:ascii="Times New Roman" w:hAnsi="Times New Roman" w:eastAsia="Times New Roman"/>
                <w:sz w:val="22"/>
              </w:rPr>
              <w:t>Mức độ tương quan tuyến tính giữa hai biến</w:t>
            </w:r>
          </w:p>
        </w:tc>
        <w:tc>
          <w:tcPr>
            <w:tcW w:type="dxa" w:w="2422"/>
          </w:tcPr>
          <w:p>
            <w:r/>
            <w:r>
              <w:rPr>
                <w:rFonts w:ascii="Times New Roman" w:hAnsi="Times New Roman" w:eastAsia="Times New Roman"/>
                <w:sz w:val="22"/>
              </w:rPr>
              <w:t>0,10 nhỏ; 0,30 trung bình; 0,50 lớn</w:t>
            </w:r>
          </w:p>
        </w:tc>
      </w:tr>
      <w:tr>
        <w:tc>
          <w:tcPr>
            <w:tcW w:type="dxa" w:w="2422"/>
          </w:tcPr>
          <w:p>
            <w:r/>
            <w:r>
              <w:rPr>
                <w:rFonts w:ascii="Times New Roman" w:hAnsi="Times New Roman" w:eastAsia="Times New Roman"/>
                <w:sz w:val="22"/>
              </w:rPr>
              <w:t>g</w:t>
            </w:r>
          </w:p>
        </w:tc>
        <w:tc>
          <w:tcPr>
            <w:tcW w:type="dxa" w:w="2422"/>
          </w:tcPr>
          <w:p>
            <w:r/>
            <w:r>
              <w:rPr>
                <w:rFonts w:ascii="Times New Roman" w:hAnsi="Times New Roman" w:eastAsia="Times New Roman"/>
                <w:sz w:val="22"/>
              </w:rPr>
              <w:t>Hedges g</w:t>
            </w:r>
          </w:p>
        </w:tc>
        <w:tc>
          <w:tcPr>
            <w:tcW w:type="dxa" w:w="2422"/>
          </w:tcPr>
          <w:p>
            <w:r/>
            <w:r>
              <w:rPr>
                <w:rFonts w:ascii="Times New Roman" w:hAnsi="Times New Roman" w:eastAsia="Times New Roman"/>
                <w:sz w:val="22"/>
              </w:rPr>
              <w:t>Tương tự Cohen d nhưng hiệu chỉnh cho cỡ mẫu nhỏ</w:t>
            </w:r>
          </w:p>
        </w:tc>
        <w:tc>
          <w:tcPr>
            <w:tcW w:type="dxa" w:w="2422"/>
          </w:tcPr>
          <w:p>
            <w:r/>
            <w:r>
              <w:rPr>
                <w:rFonts w:ascii="Times New Roman" w:hAnsi="Times New Roman" w:eastAsia="Times New Roman"/>
                <w:sz w:val="22"/>
              </w:rPr>
              <w:t>Diễn giải như Cohen d</w:t>
            </w:r>
          </w:p>
        </w:tc>
      </w:tr>
      <w:tr>
        <w:tc>
          <w:tcPr>
            <w:tcW w:type="dxa" w:w="2422"/>
          </w:tcPr>
          <w:p>
            <w:r/>
            <w:r>
              <w:rPr>
                <w:rFonts w:ascii="Times New Roman" w:hAnsi="Times New Roman" w:eastAsia="Times New Roman"/>
                <w:sz w:val="22"/>
              </w:rPr>
              <w:t>SUCRA</w:t>
            </w:r>
          </w:p>
        </w:tc>
        <w:tc>
          <w:tcPr>
            <w:tcW w:type="dxa" w:w="2422"/>
          </w:tcPr>
          <w:p>
            <w:r/>
            <w:r>
              <w:rPr>
                <w:rFonts w:ascii="Times New Roman" w:hAnsi="Times New Roman" w:eastAsia="Times New Roman"/>
                <w:sz w:val="22"/>
              </w:rPr>
              <w:t>Surface Under Cumulative Ranking</w:t>
            </w:r>
          </w:p>
        </w:tc>
        <w:tc>
          <w:tcPr>
            <w:tcW w:type="dxa" w:w="2422"/>
          </w:tcPr>
          <w:p>
            <w:r/>
            <w:r>
              <w:rPr>
                <w:rFonts w:ascii="Times New Roman" w:hAnsi="Times New Roman" w:eastAsia="Times New Roman"/>
                <w:sz w:val="22"/>
              </w:rPr>
              <w:t>Xếp hạng phương án điều trị trong phân tích mạng lưới (0–100%; cao hơn = tốt hơn)</w:t>
            </w:r>
          </w:p>
        </w:tc>
        <w:tc>
          <w:tcPr>
            <w:tcW w:type="dxa" w:w="2422"/>
          </w:tcPr>
          <w:p>
            <w:r/>
            <w:r>
              <w:rPr>
                <w:rFonts w:ascii="Times New Roman" w:hAnsi="Times New Roman" w:eastAsia="Times New Roman"/>
                <w:sz w:val="22"/>
              </w:rPr>
              <w:t>—</w:t>
            </w:r>
          </w:p>
        </w:tc>
      </w:tr>
    </w:tbl>
    <w:p>
      <w:pPr>
        <w:spacing w:before="160" w:after="80" w:line="276" w:lineRule="auto"/>
      </w:pPr>
      <w:r>
        <w:rPr>
          <w:rFonts w:ascii="Times New Roman" w:hAnsi="Times New Roman" w:eastAsia="Times New Roman"/>
          <w:b/>
          <w:i/>
          <w:sz w:val="24"/>
        </w:rPr>
        <w:t>9. Yêu cầu cụ thể cho nhóm phân tích SPSS/lavaan/Mplus</w:t>
      </w:r>
    </w:p>
    <w:p>
      <w:pPr>
        <w:spacing w:before="60" w:after="60" w:line="276" w:lineRule="auto"/>
        <w:ind w:firstLine="283"/>
        <w:jc w:val="both"/>
      </w:pPr>
      <w:r>
        <w:rPr>
          <w:rFonts w:ascii="Times New Roman" w:hAnsi="Times New Roman" w:eastAsia="Times New Roman"/>
          <w:b/>
          <w:sz w:val="24"/>
        </w:rPr>
        <w:t>Khi tái phân tích dữ liệu raw (n = 1.352), nhóm phân tích cần báo cáo:</w:t>
      </w:r>
    </w:p>
    <w:p>
      <w:pPr>
        <w:spacing w:before="60" w:after="60" w:line="276" w:lineRule="auto"/>
        <w:ind w:firstLine="170"/>
      </w:pPr>
      <w:r>
        <w:rPr>
          <w:rFonts w:ascii="Times New Roman" w:hAnsi="Times New Roman" w:eastAsia="Times New Roman"/>
          <w:sz w:val="24"/>
        </w:rPr>
        <w:t>• Cho mỗi mô hình SEM: χ² (df), CFI, TLI, RMSEA (kèm KTC 90%), SRMR.</w:t>
      </w:r>
    </w:p>
    <w:p>
      <w:pPr>
        <w:spacing w:before="60" w:after="60" w:line="276" w:lineRule="auto"/>
        <w:ind w:firstLine="170"/>
      </w:pPr>
      <w:r>
        <w:rPr>
          <w:rFonts w:ascii="Times New Roman" w:hAnsi="Times New Roman" w:eastAsia="Times New Roman"/>
          <w:sz w:val="24"/>
        </w:rPr>
        <w:t>• Cho mỗi đường dẫn: β chuẩn hóa, sai số chuẩn, KTC 95% bootstrap (5.000 lần), p-value.</w:t>
      </w:r>
    </w:p>
    <w:p>
      <w:pPr>
        <w:spacing w:before="60" w:after="60" w:line="276" w:lineRule="auto"/>
        <w:ind w:firstLine="170"/>
      </w:pPr>
      <w:r>
        <w:rPr>
          <w:rFonts w:ascii="Times New Roman" w:hAnsi="Times New Roman" w:eastAsia="Times New Roman"/>
          <w:sz w:val="24"/>
        </w:rPr>
        <w:t>• Cho mô hình mediation: a, b, c, c', và indirect = a × b kèm KTC 95% bootstrap.</w:t>
      </w:r>
    </w:p>
    <w:p>
      <w:pPr>
        <w:spacing w:before="60" w:after="60" w:line="276" w:lineRule="auto"/>
        <w:ind w:firstLine="170"/>
      </w:pPr>
      <w:r>
        <w:rPr>
          <w:rFonts w:ascii="Times New Roman" w:hAnsi="Times New Roman" w:eastAsia="Times New Roman"/>
          <w:sz w:val="24"/>
        </w:rPr>
        <w:t>• Cho multi-group invariance: configural, metric, scalar — Δχ², ΔCFI, ΔRMSEA.</w:t>
      </w:r>
    </w:p>
    <w:p>
      <w:pPr>
        <w:spacing w:before="60" w:after="60" w:line="276" w:lineRule="auto"/>
        <w:ind w:firstLine="170"/>
      </w:pPr>
      <w:r>
        <w:rPr>
          <w:rFonts w:ascii="Times New Roman" w:hAnsi="Times New Roman" w:eastAsia="Times New Roman"/>
          <w:sz w:val="24"/>
        </w:rPr>
        <w:t>• Cho phân tích giới: F, p, Cohen d cho mỗi phân nhóm lo âu.</w:t>
      </w:r>
    </w:p>
    <w:p>
      <w:pPr>
        <w:spacing w:before="60" w:after="60" w:line="276" w:lineRule="auto"/>
        <w:ind w:firstLine="170"/>
      </w:pPr>
      <w:r>
        <w:rPr>
          <w:rFonts w:ascii="Times New Roman" w:hAnsi="Times New Roman" w:eastAsia="Times New Roman"/>
          <w:sz w:val="24"/>
        </w:rPr>
        <w:t>• Cho Harman's single-factor test: % phương sai của nhân tố đầu tiên.</w:t>
      </w:r>
    </w:p>
    <w:p>
      <w:pPr>
        <w:spacing w:before="60" w:after="60" w:line="276" w:lineRule="auto"/>
        <w:ind w:firstLine="170"/>
      </w:pPr>
      <w:r>
        <w:rPr>
          <w:rFonts w:ascii="Times New Roman" w:hAnsi="Times New Roman" w:eastAsia="Times New Roman"/>
          <w:sz w:val="24"/>
        </w:rPr>
        <w:t>• Quy ước báo cáo: dấu phẩy thập phân kiểu Việt Nam (0,376 thay vì 0.376) cho bản tiếng Việt; dấu chấm cho bản tiếng Anh.</w:t>
      </w:r>
    </w:p>
    <w:p>
      <w:pPr>
        <w:spacing w:before="60" w:after="60" w:line="276" w:lineRule="auto"/>
        <w:ind w:firstLine="170"/>
      </w:pPr>
      <w:r>
        <w:rPr>
          <w:rFonts w:ascii="Times New Roman" w:hAnsi="Times New Roman" w:eastAsia="Times New Roman"/>
          <w:sz w:val="24"/>
        </w:rPr>
        <w:t>• Khi có FIT KÉM (RMSEA &gt; 0,08 hoặc CFI &lt; 0,90), cần phân tích so sánh mô hình thay thế (alternative model comparison).</w:t>
      </w:r>
    </w:p>
    <w:p>
      <w:pPr>
        <w:spacing w:before="60" w:after="60" w:line="276" w:lineRule="auto"/>
        <w:ind w:firstLine="283"/>
        <w:jc w:val="both"/>
      </w:pPr>
      <w:r>
        <w:rPr>
          <w:rFonts w:ascii="Times New Roman" w:hAnsi="Times New Roman" w:eastAsia="Times New Roman"/>
          <w:i/>
          <w:sz w:val="22"/>
        </w:rPr>
        <w:t>Phụ lục này được biên soạn nhằm chuẩn hóa cách diễn giải số liệu giữa nhóm tác giả viết bản thảo và nhóm phân tích dữ liệu, đảm bảo mọi con số trong bản thảo đều khớp với output SEM gốc và được hiểu nhất quán.</w:t>
      </w:r>
    </w:p>
    <w:p>
      <w:pPr>
        <w:spacing w:before="280" w:after="120" w:line="276" w:lineRule="auto"/>
      </w:pPr>
      <w:r>
        <w:rPr>
          <w:rFonts w:ascii="Times New Roman" w:hAnsi="Times New Roman" w:eastAsia="Times New Roman"/>
          <w:b/>
          <w:sz w:val="26"/>
        </w:rPr>
        <w:t>Phụ lục bổ sung — Danh sách 12 tạp chí mục tiêu (Q2 đến Q3)</w:t>
      </w:r>
    </w:p>
    <w:p>
      <w:pPr>
        <w:spacing w:before="60" w:after="60" w:line="276" w:lineRule="auto"/>
        <w:ind w:firstLine="283"/>
        <w:jc w:val="both"/>
      </w:pPr>
      <w:r>
        <w:rPr>
          <w:rFonts w:ascii="Times New Roman" w:hAnsi="Times New Roman" w:eastAsia="Times New Roman"/>
          <w:sz w:val="24"/>
        </w:rPr>
        <w:t>Danh sách dưới đây tổng hợp 12 tạp chí quốc tế phù hợp cho bài Q2.5 này, được sắp xếp theo thứ tự ưu tiên nộp. Mỗi tạp chí đi kèm chỉ số tác động (Impact Factor) năm 2024, phân khúc Quartile, phí xuất bản open access (APC), thời gian phản biện ước tính, mức phù hợp scope (đánh giá 1–5 sao) và ghi chú chiến thuật.</w:t>
      </w:r>
    </w:p>
    <w:p>
      <w:pPr>
        <w:spacing w:before="160" w:after="80" w:line="276" w:lineRule="auto"/>
      </w:pPr>
      <w:r>
        <w:rPr>
          <w:rFonts w:ascii="Times New Roman" w:hAnsi="Times New Roman" w:eastAsia="Times New Roman"/>
          <w:b/>
          <w:i/>
          <w:sz w:val="24"/>
        </w:rPr>
        <w:t>Bảng — 12 tạp chí mục tiêu</w:t>
      </w:r>
    </w:p>
    <w:tbl>
      <w:tblPr>
        <w:tblStyle w:val="LightGrid"/>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211"/>
          </w:tcPr>
          <w:p>
            <w:r/>
            <w:r>
              <w:rPr>
                <w:rFonts w:ascii="Times New Roman" w:hAnsi="Times New Roman" w:eastAsia="Times New Roman"/>
                <w:b/>
                <w:sz w:val="20"/>
              </w:rPr>
              <w:t>#</w:t>
            </w:r>
          </w:p>
        </w:tc>
        <w:tc>
          <w:tcPr>
            <w:tcW w:type="dxa" w:w="1211"/>
          </w:tcPr>
          <w:p>
            <w:r/>
            <w:r>
              <w:rPr>
                <w:rFonts w:ascii="Times New Roman" w:hAnsi="Times New Roman" w:eastAsia="Times New Roman"/>
                <w:b/>
                <w:sz w:val="20"/>
              </w:rPr>
              <w:t>Tạp chí</w:t>
            </w:r>
          </w:p>
        </w:tc>
        <w:tc>
          <w:tcPr>
            <w:tcW w:type="dxa" w:w="1211"/>
          </w:tcPr>
          <w:p>
            <w:r/>
            <w:r>
              <w:rPr>
                <w:rFonts w:ascii="Times New Roman" w:hAnsi="Times New Roman" w:eastAsia="Times New Roman"/>
                <w:b/>
                <w:sz w:val="20"/>
              </w:rPr>
              <w:t>IF 2024</w:t>
            </w:r>
          </w:p>
        </w:tc>
        <w:tc>
          <w:tcPr>
            <w:tcW w:type="dxa" w:w="1211"/>
          </w:tcPr>
          <w:p>
            <w:r/>
            <w:r>
              <w:rPr>
                <w:rFonts w:ascii="Times New Roman" w:hAnsi="Times New Roman" w:eastAsia="Times New Roman"/>
                <w:b/>
                <w:sz w:val="20"/>
              </w:rPr>
              <w:t>Quartile</w:t>
            </w:r>
          </w:p>
        </w:tc>
        <w:tc>
          <w:tcPr>
            <w:tcW w:type="dxa" w:w="1211"/>
          </w:tcPr>
          <w:p>
            <w:r/>
            <w:r>
              <w:rPr>
                <w:rFonts w:ascii="Times New Roman" w:hAnsi="Times New Roman" w:eastAsia="Times New Roman"/>
                <w:b/>
                <w:sz w:val="20"/>
              </w:rPr>
              <w:t>APC</w:t>
            </w:r>
          </w:p>
        </w:tc>
        <w:tc>
          <w:tcPr>
            <w:tcW w:type="dxa" w:w="1211"/>
          </w:tcPr>
          <w:p>
            <w:r/>
            <w:r>
              <w:rPr>
                <w:rFonts w:ascii="Times New Roman" w:hAnsi="Times New Roman" w:eastAsia="Times New Roman"/>
                <w:b/>
                <w:sz w:val="20"/>
              </w:rPr>
              <w:t>Turnaround</w:t>
            </w:r>
          </w:p>
        </w:tc>
        <w:tc>
          <w:tcPr>
            <w:tcW w:type="dxa" w:w="1211"/>
          </w:tcPr>
          <w:p>
            <w:r/>
            <w:r>
              <w:rPr>
                <w:rFonts w:ascii="Times New Roman" w:hAnsi="Times New Roman" w:eastAsia="Times New Roman"/>
                <w:b/>
                <w:sz w:val="20"/>
              </w:rPr>
              <w:t>Fit</w:t>
            </w:r>
          </w:p>
        </w:tc>
        <w:tc>
          <w:tcPr>
            <w:tcW w:type="dxa" w:w="1211"/>
          </w:tcPr>
          <w:p>
            <w:r/>
            <w:r>
              <w:rPr>
                <w:rFonts w:ascii="Times New Roman" w:hAnsi="Times New Roman" w:eastAsia="Times New Roman"/>
                <w:b/>
                <w:sz w:val="20"/>
              </w:rPr>
              <w:t>Ghi chú</w:t>
            </w:r>
          </w:p>
        </w:tc>
      </w:tr>
      <w:tr>
        <w:tc>
          <w:tcPr>
            <w:tcW w:type="dxa" w:w="1211"/>
          </w:tcPr>
          <w:p>
            <w:r/>
            <w:r>
              <w:rPr>
                <w:rFonts w:ascii="Times New Roman" w:hAnsi="Times New Roman" w:eastAsia="Times New Roman"/>
                <w:sz w:val="20"/>
              </w:rPr>
              <w:t>1</w:t>
            </w:r>
          </w:p>
        </w:tc>
        <w:tc>
          <w:tcPr>
            <w:tcW w:type="dxa" w:w="1211"/>
          </w:tcPr>
          <w:p>
            <w:r/>
            <w:r>
              <w:rPr>
                <w:rFonts w:ascii="Times New Roman" w:hAnsi="Times New Roman" w:eastAsia="Times New Roman"/>
                <w:sz w:val="20"/>
              </w:rPr>
              <w:t>Frontiers in Psychiatry</w:t>
            </w:r>
          </w:p>
        </w:tc>
        <w:tc>
          <w:tcPr>
            <w:tcW w:type="dxa" w:w="1211"/>
          </w:tcPr>
          <w:p>
            <w:r/>
            <w:r>
              <w:rPr>
                <w:rFonts w:ascii="Times New Roman" w:hAnsi="Times New Roman" w:eastAsia="Times New Roman"/>
                <w:sz w:val="20"/>
              </w:rPr>
              <w:t>3,10</w:t>
            </w:r>
          </w:p>
        </w:tc>
        <w:tc>
          <w:tcPr>
            <w:tcW w:type="dxa" w:w="1211"/>
          </w:tcPr>
          <w:p>
            <w:r/>
            <w:r>
              <w:rPr>
                <w:rFonts w:ascii="Times New Roman" w:hAnsi="Times New Roman" w:eastAsia="Times New Roman"/>
                <w:sz w:val="20"/>
              </w:rPr>
              <w:t>Q1 SJR / Q2 WoS</w:t>
            </w:r>
          </w:p>
        </w:tc>
        <w:tc>
          <w:tcPr>
            <w:tcW w:type="dxa" w:w="1211"/>
          </w:tcPr>
          <w:p>
            <w:r/>
            <w:r>
              <w:rPr>
                <w:rFonts w:ascii="Times New Roman" w:hAnsi="Times New Roman" w:eastAsia="Times New Roman"/>
                <w:sz w:val="20"/>
              </w:rPr>
              <w:t>~3.150 CHF (waiver LMIC)</w:t>
            </w:r>
          </w:p>
        </w:tc>
        <w:tc>
          <w:tcPr>
            <w:tcW w:type="dxa" w:w="1211"/>
          </w:tcPr>
          <w:p>
            <w:r/>
            <w:r>
              <w:rPr>
                <w:rFonts w:ascii="Times New Roman" w:hAnsi="Times New Roman" w:eastAsia="Times New Roman"/>
                <w:sz w:val="20"/>
              </w:rPr>
              <w:t>~77 ngày</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Lựa chọn ưu tiên #1 — tốc độ + uy tín</w:t>
            </w:r>
          </w:p>
        </w:tc>
      </w:tr>
      <w:tr>
        <w:tc>
          <w:tcPr>
            <w:tcW w:type="dxa" w:w="1211"/>
          </w:tcPr>
          <w:p>
            <w:r/>
            <w:r>
              <w:rPr>
                <w:rFonts w:ascii="Times New Roman" w:hAnsi="Times New Roman" w:eastAsia="Times New Roman"/>
                <w:sz w:val="20"/>
              </w:rPr>
              <w:t>2</w:t>
            </w:r>
          </w:p>
        </w:tc>
        <w:tc>
          <w:tcPr>
            <w:tcW w:type="dxa" w:w="1211"/>
          </w:tcPr>
          <w:p>
            <w:r/>
            <w:r>
              <w:rPr>
                <w:rFonts w:ascii="Times New Roman" w:hAnsi="Times New Roman" w:eastAsia="Times New Roman"/>
                <w:sz w:val="20"/>
              </w:rPr>
              <w:t>Asian Journal of Psychiatry</w:t>
            </w:r>
          </w:p>
        </w:tc>
        <w:tc>
          <w:tcPr>
            <w:tcW w:type="dxa" w:w="1211"/>
          </w:tcPr>
          <w:p>
            <w:r/>
            <w:r>
              <w:rPr>
                <w:rFonts w:ascii="Times New Roman" w:hAnsi="Times New Roman" w:eastAsia="Times New Roman"/>
                <w:sz w:val="20"/>
              </w:rPr>
              <w:t>2,77</w:t>
            </w:r>
          </w:p>
        </w:tc>
        <w:tc>
          <w:tcPr>
            <w:tcW w:type="dxa" w:w="1211"/>
          </w:tcPr>
          <w:p>
            <w:r/>
            <w:r>
              <w:rPr>
                <w:rFonts w:ascii="Times New Roman" w:hAnsi="Times New Roman" w:eastAsia="Times New Roman"/>
                <w:sz w:val="20"/>
              </w:rPr>
              <w:t>Q1 SJR</w:t>
            </w:r>
          </w:p>
        </w:tc>
        <w:tc>
          <w:tcPr>
            <w:tcW w:type="dxa" w:w="1211"/>
          </w:tcPr>
          <w:p>
            <w:r/>
            <w:r>
              <w:rPr>
                <w:rFonts w:ascii="Times New Roman" w:hAnsi="Times New Roman" w:eastAsia="Times New Roman"/>
                <w:sz w:val="20"/>
              </w:rPr>
              <w:t>Tùy editor (waiver LMIC)</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Cultural fit cao nhất — bài hợp khu vực Á</w:t>
            </w:r>
          </w:p>
        </w:tc>
      </w:tr>
      <w:tr>
        <w:tc>
          <w:tcPr>
            <w:tcW w:type="dxa" w:w="1211"/>
          </w:tcPr>
          <w:p>
            <w:r/>
            <w:r>
              <w:rPr>
                <w:rFonts w:ascii="Times New Roman" w:hAnsi="Times New Roman" w:eastAsia="Times New Roman"/>
                <w:sz w:val="20"/>
              </w:rPr>
              <w:t>3</w:t>
            </w:r>
          </w:p>
        </w:tc>
        <w:tc>
          <w:tcPr>
            <w:tcW w:type="dxa" w:w="1211"/>
          </w:tcPr>
          <w:p>
            <w:r/>
            <w:r>
              <w:rPr>
                <w:rFonts w:ascii="Times New Roman" w:hAnsi="Times New Roman" w:eastAsia="Times New Roman"/>
                <w:sz w:val="20"/>
              </w:rPr>
              <w:t>Child Psychiatry &amp; Human Development</w:t>
            </w:r>
          </w:p>
        </w:tc>
        <w:tc>
          <w:tcPr>
            <w:tcW w:type="dxa" w:w="1211"/>
          </w:tcPr>
          <w:p>
            <w:r/>
            <w:r>
              <w:rPr>
                <w:rFonts w:ascii="Times New Roman" w:hAnsi="Times New Roman" w:eastAsia="Times New Roman"/>
                <w:sz w:val="20"/>
              </w:rPr>
              <w:t>2,20</w:t>
            </w:r>
          </w:p>
        </w:tc>
        <w:tc>
          <w:tcPr>
            <w:tcW w:type="dxa" w:w="1211"/>
          </w:tcPr>
          <w:p>
            <w:r/>
            <w:r>
              <w:rPr>
                <w:rFonts w:ascii="Times New Roman" w:hAnsi="Times New Roman" w:eastAsia="Times New Roman"/>
                <w:sz w:val="20"/>
              </w:rPr>
              <w:t>Q2 SJR</w:t>
            </w:r>
          </w:p>
        </w:tc>
        <w:tc>
          <w:tcPr>
            <w:tcW w:type="dxa" w:w="1211"/>
          </w:tcPr>
          <w:p>
            <w:r/>
            <w:r>
              <w:rPr>
                <w:rFonts w:ascii="Times New Roman" w:hAnsi="Times New Roman" w:eastAsia="Times New Roman"/>
                <w:sz w:val="20"/>
              </w:rPr>
              <w:t>~$2-3k</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Springer + PubMed indexed; chấp nhận SEM</w:t>
            </w:r>
          </w:p>
        </w:tc>
      </w:tr>
      <w:tr>
        <w:tc>
          <w:tcPr>
            <w:tcW w:type="dxa" w:w="1211"/>
          </w:tcPr>
          <w:p>
            <w:r/>
            <w:r>
              <w:rPr>
                <w:rFonts w:ascii="Times New Roman" w:hAnsi="Times New Roman" w:eastAsia="Times New Roman"/>
                <w:sz w:val="20"/>
              </w:rPr>
              <w:t>4</w:t>
            </w:r>
          </w:p>
        </w:tc>
        <w:tc>
          <w:tcPr>
            <w:tcW w:type="dxa" w:w="1211"/>
          </w:tcPr>
          <w:p>
            <w:r/>
            <w:r>
              <w:rPr>
                <w:rFonts w:ascii="Times New Roman" w:hAnsi="Times New Roman" w:eastAsia="Times New Roman"/>
                <w:sz w:val="20"/>
              </w:rPr>
              <w:t>BMC Psychology</w:t>
            </w:r>
          </w:p>
        </w:tc>
        <w:tc>
          <w:tcPr>
            <w:tcW w:type="dxa" w:w="1211"/>
          </w:tcPr>
          <w:p>
            <w:r/>
            <w:r>
              <w:rPr>
                <w:rFonts w:ascii="Times New Roman" w:hAnsi="Times New Roman" w:eastAsia="Times New Roman"/>
                <w:sz w:val="20"/>
              </w:rPr>
              <w:t>3,40</w:t>
            </w:r>
          </w:p>
        </w:tc>
        <w:tc>
          <w:tcPr>
            <w:tcW w:type="dxa" w:w="1211"/>
          </w:tcPr>
          <w:p>
            <w:r/>
            <w:r>
              <w:rPr>
                <w:rFonts w:ascii="Times New Roman" w:hAnsi="Times New Roman" w:eastAsia="Times New Roman"/>
                <w:sz w:val="20"/>
              </w:rPr>
              <w:t>Q1 SJR</w:t>
            </w:r>
          </w:p>
        </w:tc>
        <w:tc>
          <w:tcPr>
            <w:tcW w:type="dxa" w:w="1211"/>
          </w:tcPr>
          <w:p>
            <w:r/>
            <w:r>
              <w:rPr>
                <w:rFonts w:ascii="Times New Roman" w:hAnsi="Times New Roman" w:eastAsia="Times New Roman"/>
                <w:sz w:val="20"/>
              </w:rPr>
              <w:t>€1.390 (OA)</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OA rẻ nhất nhóm Q1-Q2; PMC indexed</w:t>
            </w:r>
          </w:p>
        </w:tc>
      </w:tr>
      <w:tr>
        <w:tc>
          <w:tcPr>
            <w:tcW w:type="dxa" w:w="1211"/>
          </w:tcPr>
          <w:p>
            <w:r/>
            <w:r>
              <w:rPr>
                <w:rFonts w:ascii="Times New Roman" w:hAnsi="Times New Roman" w:eastAsia="Times New Roman"/>
                <w:sz w:val="20"/>
              </w:rPr>
              <w:t>5</w:t>
            </w:r>
          </w:p>
        </w:tc>
        <w:tc>
          <w:tcPr>
            <w:tcW w:type="dxa" w:w="1211"/>
          </w:tcPr>
          <w:p>
            <w:r/>
            <w:r>
              <w:rPr>
                <w:rFonts w:ascii="Times New Roman" w:hAnsi="Times New Roman" w:eastAsia="Times New Roman"/>
                <w:sz w:val="20"/>
              </w:rPr>
              <w:t>Children and Youth Services Review</w:t>
            </w:r>
          </w:p>
        </w:tc>
        <w:tc>
          <w:tcPr>
            <w:tcW w:type="dxa" w:w="1211"/>
          </w:tcPr>
          <w:p>
            <w:r/>
            <w:r>
              <w:rPr>
                <w:rFonts w:ascii="Times New Roman" w:hAnsi="Times New Roman" w:eastAsia="Times New Roman"/>
                <w:sz w:val="20"/>
              </w:rPr>
              <w:t>2,14</w:t>
            </w:r>
          </w:p>
        </w:tc>
        <w:tc>
          <w:tcPr>
            <w:tcW w:type="dxa" w:w="1211"/>
          </w:tcPr>
          <w:p>
            <w:r/>
            <w:r>
              <w:rPr>
                <w:rFonts w:ascii="Times New Roman" w:hAnsi="Times New Roman" w:eastAsia="Times New Roman"/>
                <w:sz w:val="20"/>
              </w:rPr>
              <w:t>Q1 (policy lane)</w:t>
            </w:r>
          </w:p>
        </w:tc>
        <w:tc>
          <w:tcPr>
            <w:tcW w:type="dxa" w:w="1211"/>
          </w:tcPr>
          <w:p>
            <w:r/>
            <w:r>
              <w:rPr>
                <w:rFonts w:ascii="Times New Roman" w:hAnsi="Times New Roman" w:eastAsia="Times New Roman"/>
                <w:sz w:val="20"/>
              </w:rPr>
              <w:t>Subscription (miễn phí cho tác giả)</w:t>
            </w:r>
          </w:p>
        </w:tc>
        <w:tc>
          <w:tcPr>
            <w:tcW w:type="dxa" w:w="1211"/>
          </w:tcPr>
          <w:p>
            <w:r/>
            <w:r>
              <w:rPr>
                <w:rFonts w:ascii="Times New Roman" w:hAnsi="Times New Roman" w:eastAsia="Times New Roman"/>
                <w:sz w:val="20"/>
              </w:rPr>
              <w:t>~8,7 tuần</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Tốt cho hàm ý chính sách + dịch vụ học đường</w:t>
            </w:r>
          </w:p>
        </w:tc>
      </w:tr>
      <w:tr>
        <w:tc>
          <w:tcPr>
            <w:tcW w:type="dxa" w:w="1211"/>
          </w:tcPr>
          <w:p>
            <w:r/>
            <w:r>
              <w:rPr>
                <w:rFonts w:ascii="Times New Roman" w:hAnsi="Times New Roman" w:eastAsia="Times New Roman"/>
                <w:sz w:val="20"/>
              </w:rPr>
              <w:t>6</w:t>
            </w:r>
          </w:p>
        </w:tc>
        <w:tc>
          <w:tcPr>
            <w:tcW w:type="dxa" w:w="1211"/>
          </w:tcPr>
          <w:p>
            <w:r/>
            <w:r>
              <w:rPr>
                <w:rFonts w:ascii="Times New Roman" w:hAnsi="Times New Roman" w:eastAsia="Times New Roman"/>
                <w:sz w:val="20"/>
              </w:rPr>
              <w:t>Frontiers in Psychology</w:t>
            </w:r>
          </w:p>
        </w:tc>
        <w:tc>
          <w:tcPr>
            <w:tcW w:type="dxa" w:w="1211"/>
          </w:tcPr>
          <w:p>
            <w:r/>
            <w:r>
              <w:rPr>
                <w:rFonts w:ascii="Times New Roman" w:hAnsi="Times New Roman" w:eastAsia="Times New Roman"/>
                <w:sz w:val="20"/>
              </w:rPr>
              <w:t>3,27</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~$2.500</w:t>
            </w:r>
          </w:p>
        </w:tc>
        <w:tc>
          <w:tcPr>
            <w:tcW w:type="dxa" w:w="1211"/>
          </w:tcPr>
          <w:p>
            <w:r/>
            <w:r>
              <w:rPr>
                <w:rFonts w:ascii="Times New Roman" w:hAnsi="Times New Roman" w:eastAsia="Times New Roman"/>
                <w:sz w:val="20"/>
              </w:rPr>
              <w:t>~77 ngày</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Phù hợp khi nhấn psychology developmental</w:t>
            </w:r>
          </w:p>
        </w:tc>
      </w:tr>
      <w:tr>
        <w:tc>
          <w:tcPr>
            <w:tcW w:type="dxa" w:w="1211"/>
          </w:tcPr>
          <w:p>
            <w:r/>
            <w:r>
              <w:rPr>
                <w:rFonts w:ascii="Times New Roman" w:hAnsi="Times New Roman" w:eastAsia="Times New Roman"/>
                <w:sz w:val="20"/>
              </w:rPr>
              <w:t>7</w:t>
            </w:r>
          </w:p>
        </w:tc>
        <w:tc>
          <w:tcPr>
            <w:tcW w:type="dxa" w:w="1211"/>
          </w:tcPr>
          <w:p>
            <w:r/>
            <w:r>
              <w:rPr>
                <w:rFonts w:ascii="Times New Roman" w:hAnsi="Times New Roman" w:eastAsia="Times New Roman"/>
                <w:sz w:val="20"/>
              </w:rPr>
              <w:t>Journal of Mental Health</w:t>
            </w:r>
          </w:p>
        </w:tc>
        <w:tc>
          <w:tcPr>
            <w:tcW w:type="dxa" w:w="1211"/>
          </w:tcPr>
          <w:p>
            <w:r/>
            <w:r>
              <w:rPr>
                <w:rFonts w:ascii="Times New Roman" w:hAnsi="Times New Roman" w:eastAsia="Times New Roman"/>
                <w:sz w:val="20"/>
              </w:rPr>
              <w:t>~2,5</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Hybrid (tùy chọn OA)</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T&amp;F hybrid model — đọc kỹ chính sách trước nộp</w:t>
            </w:r>
          </w:p>
        </w:tc>
      </w:tr>
      <w:tr>
        <w:tc>
          <w:tcPr>
            <w:tcW w:type="dxa" w:w="1211"/>
          </w:tcPr>
          <w:p>
            <w:r/>
            <w:r>
              <w:rPr>
                <w:rFonts w:ascii="Times New Roman" w:hAnsi="Times New Roman" w:eastAsia="Times New Roman"/>
                <w:sz w:val="20"/>
              </w:rPr>
              <w:t>8</w:t>
            </w:r>
          </w:p>
        </w:tc>
        <w:tc>
          <w:tcPr>
            <w:tcW w:type="dxa" w:w="1211"/>
          </w:tcPr>
          <w:p>
            <w:r/>
            <w:r>
              <w:rPr>
                <w:rFonts w:ascii="Times New Roman" w:hAnsi="Times New Roman" w:eastAsia="Times New Roman"/>
                <w:sz w:val="20"/>
              </w:rPr>
              <w:t>Journal of School Health</w:t>
            </w:r>
          </w:p>
        </w:tc>
        <w:tc>
          <w:tcPr>
            <w:tcW w:type="dxa" w:w="1211"/>
          </w:tcPr>
          <w:p>
            <w:r/>
            <w:r>
              <w:rPr>
                <w:rFonts w:ascii="Times New Roman" w:hAnsi="Times New Roman" w:eastAsia="Times New Roman"/>
                <w:sz w:val="20"/>
              </w:rPr>
              <w:t>2,04</w:t>
            </w:r>
          </w:p>
        </w:tc>
        <w:tc>
          <w:tcPr>
            <w:tcW w:type="dxa" w:w="1211"/>
          </w:tcPr>
          <w:p>
            <w:r/>
            <w:r>
              <w:rPr>
                <w:rFonts w:ascii="Times New Roman" w:hAnsi="Times New Roman" w:eastAsia="Times New Roman"/>
                <w:sz w:val="20"/>
              </w:rPr>
              <w:t>Q2 SJR</w:t>
            </w:r>
          </w:p>
        </w:tc>
        <w:tc>
          <w:tcPr>
            <w:tcW w:type="dxa" w:w="1211"/>
          </w:tcPr>
          <w:p>
            <w:r/>
            <w:r>
              <w:rPr>
                <w:rFonts w:ascii="Times New Roman" w:hAnsi="Times New Roman" w:eastAsia="Times New Roman"/>
                <w:sz w:val="20"/>
              </w:rPr>
              <w:t>Optional OA fee</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Nhấn implications học đường</w:t>
            </w:r>
          </w:p>
        </w:tc>
      </w:tr>
      <w:tr>
        <w:tc>
          <w:tcPr>
            <w:tcW w:type="dxa" w:w="1211"/>
          </w:tcPr>
          <w:p>
            <w:r/>
            <w:r>
              <w:rPr>
                <w:rFonts w:ascii="Times New Roman" w:hAnsi="Times New Roman" w:eastAsia="Times New Roman"/>
                <w:sz w:val="20"/>
              </w:rPr>
              <w:t>9</w:t>
            </w:r>
          </w:p>
        </w:tc>
        <w:tc>
          <w:tcPr>
            <w:tcW w:type="dxa" w:w="1211"/>
          </w:tcPr>
          <w:p>
            <w:r/>
            <w:r>
              <w:rPr>
                <w:rFonts w:ascii="Times New Roman" w:hAnsi="Times New Roman" w:eastAsia="Times New Roman"/>
                <w:sz w:val="20"/>
              </w:rPr>
              <w:t>School Mental Health</w:t>
            </w:r>
          </w:p>
        </w:tc>
        <w:tc>
          <w:tcPr>
            <w:tcW w:type="dxa" w:w="1211"/>
          </w:tcPr>
          <w:p>
            <w:r/>
            <w:r>
              <w:rPr>
                <w:rFonts w:ascii="Times New Roman" w:hAnsi="Times New Roman" w:eastAsia="Times New Roman"/>
                <w:sz w:val="20"/>
              </w:rPr>
              <w:t>~3,0</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~$3k</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Đúng niche school-based MH</w:t>
            </w:r>
          </w:p>
        </w:tc>
      </w:tr>
      <w:tr>
        <w:tc>
          <w:tcPr>
            <w:tcW w:type="dxa" w:w="1211"/>
          </w:tcPr>
          <w:p>
            <w:r/>
            <w:r>
              <w:rPr>
                <w:rFonts w:ascii="Times New Roman" w:hAnsi="Times New Roman" w:eastAsia="Times New Roman"/>
                <w:sz w:val="20"/>
              </w:rPr>
              <w:t>10</w:t>
            </w:r>
          </w:p>
        </w:tc>
        <w:tc>
          <w:tcPr>
            <w:tcW w:type="dxa" w:w="1211"/>
          </w:tcPr>
          <w:p>
            <w:r/>
            <w:r>
              <w:rPr>
                <w:rFonts w:ascii="Times New Roman" w:hAnsi="Times New Roman" w:eastAsia="Times New Roman"/>
                <w:sz w:val="20"/>
              </w:rPr>
              <w:t>PLOS ONE</w:t>
            </w:r>
          </w:p>
        </w:tc>
        <w:tc>
          <w:tcPr>
            <w:tcW w:type="dxa" w:w="1211"/>
          </w:tcPr>
          <w:p>
            <w:r/>
            <w:r>
              <w:rPr>
                <w:rFonts w:ascii="Times New Roman" w:hAnsi="Times New Roman" w:eastAsia="Times New Roman"/>
                <w:sz w:val="20"/>
              </w:rPr>
              <w:t>2,60</w:t>
            </w:r>
          </w:p>
        </w:tc>
        <w:tc>
          <w:tcPr>
            <w:tcW w:type="dxa" w:w="1211"/>
          </w:tcPr>
          <w:p>
            <w:r/>
            <w:r>
              <w:rPr>
                <w:rFonts w:ascii="Times New Roman" w:hAnsi="Times New Roman" w:eastAsia="Times New Roman"/>
                <w:sz w:val="20"/>
              </w:rPr>
              <w:t>Q2 WoS / Q1 PubMed</w:t>
            </w:r>
          </w:p>
        </w:tc>
        <w:tc>
          <w:tcPr>
            <w:tcW w:type="dxa" w:w="1211"/>
          </w:tcPr>
          <w:p>
            <w:r/>
            <w:r>
              <w:rPr>
                <w:rFonts w:ascii="Times New Roman" w:hAnsi="Times New Roman" w:eastAsia="Times New Roman"/>
                <w:sz w:val="20"/>
              </w:rPr>
              <w:t>$1.695 (OA)</w:t>
            </w:r>
          </w:p>
        </w:tc>
        <w:tc>
          <w:tcPr>
            <w:tcW w:type="dxa" w:w="1211"/>
          </w:tcPr>
          <w:p>
            <w:r/>
            <w:r>
              <w:rPr>
                <w:rFonts w:ascii="Times New Roman" w:hAnsi="Times New Roman" w:eastAsia="Times New Roman"/>
                <w:sz w:val="20"/>
              </w:rPr>
              <w:t>~185 ngày</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Acceptance rate cao ~50%; broad scope</w:t>
            </w:r>
          </w:p>
        </w:tc>
      </w:tr>
      <w:tr>
        <w:tc>
          <w:tcPr>
            <w:tcW w:type="dxa" w:w="1211"/>
          </w:tcPr>
          <w:p>
            <w:r/>
            <w:r>
              <w:rPr>
                <w:rFonts w:ascii="Times New Roman" w:hAnsi="Times New Roman" w:eastAsia="Times New Roman"/>
                <w:sz w:val="20"/>
              </w:rPr>
              <w:t>11</w:t>
            </w:r>
          </w:p>
        </w:tc>
        <w:tc>
          <w:tcPr>
            <w:tcW w:type="dxa" w:w="1211"/>
          </w:tcPr>
          <w:p>
            <w:r/>
            <w:r>
              <w:rPr>
                <w:rFonts w:ascii="Times New Roman" w:hAnsi="Times New Roman" w:eastAsia="Times New Roman"/>
                <w:sz w:val="20"/>
              </w:rPr>
              <w:t>Cambridge Prisms: Global Mental Health</w:t>
            </w:r>
          </w:p>
        </w:tc>
        <w:tc>
          <w:tcPr>
            <w:tcW w:type="dxa" w:w="1211"/>
          </w:tcPr>
          <w:p>
            <w:r/>
            <w:r>
              <w:rPr>
                <w:rFonts w:ascii="Times New Roman" w:hAnsi="Times New Roman" w:eastAsia="Times New Roman"/>
                <w:sz w:val="20"/>
              </w:rPr>
              <w:t>~3,5</w:t>
            </w:r>
          </w:p>
        </w:tc>
        <w:tc>
          <w:tcPr>
            <w:tcW w:type="dxa" w:w="1211"/>
          </w:tcPr>
          <w:p>
            <w:r/>
            <w:r>
              <w:rPr>
                <w:rFonts w:ascii="Times New Roman" w:hAnsi="Times New Roman" w:eastAsia="Times New Roman"/>
                <w:sz w:val="20"/>
              </w:rPr>
              <w:t>Q2</w:t>
            </w:r>
          </w:p>
        </w:tc>
        <w:tc>
          <w:tcPr>
            <w:tcW w:type="dxa" w:w="1211"/>
          </w:tcPr>
          <w:p>
            <w:r/>
            <w:r>
              <w:rPr>
                <w:rFonts w:ascii="Times New Roman" w:hAnsi="Times New Roman" w:eastAsia="Times New Roman"/>
                <w:sz w:val="20"/>
              </w:rPr>
              <w:t>$2.500 (OA)</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LMIC focus — Vietnamese authors welcome</w:t>
            </w:r>
          </w:p>
        </w:tc>
      </w:tr>
      <w:tr>
        <w:tc>
          <w:tcPr>
            <w:tcW w:type="dxa" w:w="1211"/>
          </w:tcPr>
          <w:p>
            <w:r/>
            <w:r>
              <w:rPr>
                <w:rFonts w:ascii="Times New Roman" w:hAnsi="Times New Roman" w:eastAsia="Times New Roman"/>
                <w:sz w:val="20"/>
              </w:rPr>
              <w:t>12</w:t>
            </w:r>
          </w:p>
        </w:tc>
        <w:tc>
          <w:tcPr>
            <w:tcW w:type="dxa" w:w="1211"/>
          </w:tcPr>
          <w:p>
            <w:r/>
            <w:r>
              <w:rPr>
                <w:rFonts w:ascii="Times New Roman" w:hAnsi="Times New Roman" w:eastAsia="Times New Roman"/>
                <w:sz w:val="20"/>
              </w:rPr>
              <w:t>Vulnerable Children and Youth Studies</w:t>
            </w:r>
          </w:p>
        </w:tc>
        <w:tc>
          <w:tcPr>
            <w:tcW w:type="dxa" w:w="1211"/>
          </w:tcPr>
          <w:p>
            <w:r/>
            <w:r>
              <w:rPr>
                <w:rFonts w:ascii="Times New Roman" w:hAnsi="Times New Roman" w:eastAsia="Times New Roman"/>
                <w:sz w:val="20"/>
              </w:rPr>
              <w:t>~1,3</w:t>
            </w:r>
          </w:p>
        </w:tc>
        <w:tc>
          <w:tcPr>
            <w:tcW w:type="dxa" w:w="1211"/>
          </w:tcPr>
          <w:p>
            <w:r/>
            <w:r>
              <w:rPr>
                <w:rFonts w:ascii="Times New Roman" w:hAnsi="Times New Roman" w:eastAsia="Times New Roman"/>
                <w:sz w:val="20"/>
              </w:rPr>
              <w:t>Q3</w:t>
            </w:r>
          </w:p>
        </w:tc>
        <w:tc>
          <w:tcPr>
            <w:tcW w:type="dxa" w:w="1211"/>
          </w:tcPr>
          <w:p>
            <w:r/>
            <w:r>
              <w:rPr>
                <w:rFonts w:ascii="Times New Roman" w:hAnsi="Times New Roman" w:eastAsia="Times New Roman"/>
                <w:sz w:val="20"/>
              </w:rPr>
              <w:t>Hybrid</w:t>
            </w:r>
          </w:p>
        </w:tc>
        <w:tc>
          <w:tcPr>
            <w:tcW w:type="dxa" w:w="1211"/>
          </w:tcPr>
          <w:p>
            <w:r/>
            <w:r>
              <w:rPr>
                <w:rFonts w:ascii="Times New Roman" w:hAnsi="Times New Roman" w:eastAsia="Times New Roman"/>
                <w:sz w:val="20"/>
              </w:rPr>
              <w:t>Không rõ</w:t>
            </w:r>
          </w:p>
        </w:tc>
        <w:tc>
          <w:tcPr>
            <w:tcW w:type="dxa" w:w="1211"/>
          </w:tcPr>
          <w:p>
            <w:r/>
            <w:r>
              <w:rPr>
                <w:rFonts w:ascii="Times New Roman" w:hAnsi="Times New Roman" w:eastAsia="Times New Roman"/>
                <w:sz w:val="20"/>
              </w:rPr>
              <w:t>⭐⭐⭐</w:t>
            </w:r>
          </w:p>
        </w:tc>
        <w:tc>
          <w:tcPr>
            <w:tcW w:type="dxa" w:w="1211"/>
          </w:tcPr>
          <w:p>
            <w:r/>
            <w:r>
              <w:rPr>
                <w:rFonts w:ascii="Times New Roman" w:hAnsi="Times New Roman" w:eastAsia="Times New Roman"/>
                <w:sz w:val="20"/>
              </w:rPr>
              <w:t>Backup khi cascade reject từ tier cao hơn</w:t>
            </w:r>
          </w:p>
        </w:tc>
      </w:tr>
    </w:tbl>
    <w:p>
      <w:pPr>
        <w:spacing w:before="160" w:after="80" w:line="276" w:lineRule="auto"/>
      </w:pPr>
      <w:r>
        <w:rPr>
          <w:rFonts w:ascii="Times New Roman" w:hAnsi="Times New Roman" w:eastAsia="Times New Roman"/>
          <w:b/>
          <w:i/>
          <w:sz w:val="24"/>
        </w:rPr>
        <w:t>Chiến thuật nộp (submission cascade)</w:t>
      </w:r>
    </w:p>
    <w:p>
      <w:pPr>
        <w:spacing w:before="60" w:after="60" w:line="276" w:lineRule="auto"/>
        <w:ind w:firstLine="170"/>
        <w:jc w:val="both"/>
      </w:pPr>
      <w:r>
        <w:rPr>
          <w:rFonts w:ascii="Times New Roman" w:hAnsi="Times New Roman" w:eastAsia="Times New Roman"/>
          <w:sz w:val="24"/>
        </w:rPr>
        <w:t>• Tier 1 — uy tín cao, tốc độ nhanh (Tuần 0–12). Nộp Frontiers in Psychiatry trước; quyết định trong ~77 ngày. Nếu reject, chuyển sang Asian Journal of Psychiatry (lựa chọn cultural fit tốt nhất).</w:t>
      </w:r>
    </w:p>
    <w:p>
      <w:pPr>
        <w:spacing w:before="60" w:after="60" w:line="276" w:lineRule="auto"/>
        <w:ind w:firstLine="170"/>
        <w:jc w:val="both"/>
      </w:pPr>
      <w:r>
        <w:rPr>
          <w:rFonts w:ascii="Times New Roman" w:hAnsi="Times New Roman" w:eastAsia="Times New Roman"/>
          <w:sz w:val="24"/>
        </w:rPr>
        <w:t>• Tier 2 — Springer/Wiley backup (Tuần 12–24). Nếu cả Tier 1 reject, nộp Child Psychiatry &amp; Human Development (Springer) hoặc School Mental Health (Springer) — đều có ecosystem phản biện rõ ràng.</w:t>
      </w:r>
    </w:p>
    <w:p>
      <w:pPr>
        <w:spacing w:before="60" w:after="60" w:line="276" w:lineRule="auto"/>
        <w:ind w:firstLine="170"/>
        <w:jc w:val="both"/>
      </w:pPr>
      <w:r>
        <w:rPr>
          <w:rFonts w:ascii="Times New Roman" w:hAnsi="Times New Roman" w:eastAsia="Times New Roman"/>
          <w:sz w:val="24"/>
        </w:rPr>
        <w:t>• Tier 3 — open access broad (Tuần 24–36). Nếu Tier 2 reject, nộp BMC Psychology (€1.390 — rẻ nhất) hoặc Frontiers in Psychology. Cambridge Prisms: Global Mental Health đặc biệt phù hợp do nhấn mạnh LMIC.</w:t>
      </w:r>
    </w:p>
    <w:p>
      <w:pPr>
        <w:spacing w:before="60" w:after="60" w:line="276" w:lineRule="auto"/>
        <w:ind w:firstLine="170"/>
        <w:jc w:val="both"/>
      </w:pPr>
      <w:r>
        <w:rPr>
          <w:rFonts w:ascii="Times New Roman" w:hAnsi="Times New Roman" w:eastAsia="Times New Roman"/>
          <w:sz w:val="24"/>
        </w:rPr>
        <w:t>• Tier 4 — policy/services hoặc Q3 (Tuần 36+). Nếu vẫn reject, chuyển sang Children and Youth Services Review (policy lane), Journal of School Health (nhấn implications học đường) hoặc Vulnerable Children and Youth Studies (Q3 backup an toàn).</w:t>
      </w:r>
    </w:p>
    <w:p>
      <w:pPr>
        <w:spacing w:before="160" w:after="80" w:line="276" w:lineRule="auto"/>
      </w:pPr>
      <w:r>
        <w:rPr>
          <w:rFonts w:ascii="Times New Roman" w:hAnsi="Times New Roman" w:eastAsia="Times New Roman"/>
          <w:b/>
          <w:i/>
          <w:sz w:val="24"/>
        </w:rPr>
        <w:t>Cảnh báo cần tránh</w:t>
      </w:r>
    </w:p>
    <w:p>
      <w:pPr>
        <w:spacing w:before="60" w:after="60" w:line="276" w:lineRule="auto"/>
        <w:ind w:firstLine="170"/>
        <w:jc w:val="both"/>
      </w:pPr>
      <w:r>
        <w:rPr>
          <w:rFonts w:ascii="Times New Roman" w:hAnsi="Times New Roman" w:eastAsia="Times New Roman"/>
          <w:sz w:val="24"/>
        </w:rPr>
        <w:t>• Tránh MDPI International Journal of Environmental Research and Public Health (IJERPH) — Clarivate đã loại tạp chí này khỏi Web of Science năm 2024 do quan ngại về citation inflation.</w:t>
      </w:r>
    </w:p>
    <w:p>
      <w:pPr>
        <w:spacing w:before="60" w:after="60" w:line="276" w:lineRule="auto"/>
        <w:ind w:firstLine="170"/>
        <w:jc w:val="both"/>
      </w:pPr>
      <w:r>
        <w:rPr>
          <w:rFonts w:ascii="Times New Roman" w:hAnsi="Times New Roman" w:eastAsia="Times New Roman"/>
          <w:sz w:val="24"/>
        </w:rPr>
        <w:t>• Cẩn thận với các tạp chí có model hybrid (kết hợp subscription + OA) — đọc kỹ chính sách phí trước khi nộp.</w:t>
      </w:r>
    </w:p>
    <w:p>
      <w:pPr>
        <w:spacing w:before="60" w:after="60" w:line="276" w:lineRule="auto"/>
        <w:ind w:firstLine="170"/>
        <w:jc w:val="both"/>
      </w:pPr>
      <w:r>
        <w:rPr>
          <w:rFonts w:ascii="Times New Roman" w:hAnsi="Times New Roman" w:eastAsia="Times New Roman"/>
          <w:sz w:val="24"/>
        </w:rPr>
        <w:t>• Tránh các tạp chí có acceptance rate &lt; 10% nếu bài chưa qua editing tiếng Anh chuyên nghiệp.</w:t>
      </w:r>
    </w:p>
    <w:p>
      <w:pPr>
        <w:spacing w:before="160" w:after="80" w:line="276" w:lineRule="auto"/>
      </w:pPr>
      <w:r>
        <w:rPr>
          <w:rFonts w:ascii="Times New Roman" w:hAnsi="Times New Roman" w:eastAsia="Times New Roman"/>
          <w:b/>
          <w:i/>
          <w:sz w:val="24"/>
        </w:rPr>
        <w:t>Lưu ý chuẩn bị nộp</w:t>
      </w:r>
    </w:p>
    <w:p>
      <w:pPr>
        <w:spacing w:before="60" w:after="60" w:line="276" w:lineRule="auto"/>
        <w:ind w:firstLine="170"/>
        <w:jc w:val="both"/>
      </w:pPr>
      <w:r>
        <w:rPr>
          <w:rFonts w:ascii="Times New Roman" w:hAnsi="Times New Roman" w:eastAsia="Times New Roman"/>
          <w:sz w:val="24"/>
        </w:rPr>
        <w:t>• Tất cả tạp chí Q2-Q3 trên đều yêu cầu cover letter ngắn (≤ 1 trang) nêu rõ đóng góp mới + lý do phù hợp với scope.</w:t>
      </w:r>
    </w:p>
    <w:p>
      <w:pPr>
        <w:spacing w:before="60" w:after="60" w:line="276" w:lineRule="auto"/>
        <w:ind w:firstLine="170"/>
        <w:jc w:val="both"/>
      </w:pPr>
      <w:r>
        <w:rPr>
          <w:rFonts w:ascii="Times New Roman" w:hAnsi="Times New Roman" w:eastAsia="Times New Roman"/>
          <w:sz w:val="24"/>
        </w:rPr>
        <w:t>• Bài Q2.5 này nên được edit ngôn ngữ bởi native English speaker (Editage, Enago, American Journal Experts) trước khi nộp Tier 1, vì các tạp chí Frontiers + Springer + Elsevier có thể desk-reject vì lý do ngôn ngữ.</w:t>
      </w:r>
    </w:p>
    <w:p>
      <w:pPr>
        <w:spacing w:before="60" w:after="60" w:line="276" w:lineRule="auto"/>
        <w:ind w:firstLine="170"/>
        <w:jc w:val="both"/>
      </w:pPr>
      <w:r>
        <w:rPr>
          <w:rFonts w:ascii="Times New Roman" w:hAnsi="Times New Roman" w:eastAsia="Times New Roman"/>
          <w:sz w:val="24"/>
        </w:rPr>
        <w:t>• Khai báo công cụ AI (LLM) trong cover letter và trong mục Phương pháp nghiên cứu, tuân theo yêu cầu hiện hành của các nhà xuất bản lớn (Elsevier, Springer, Wiley, Frontiers đều đã có chính sách riêng từ 2024).</w:t>
      </w:r>
    </w:p>
    <w:p>
      <w:pPr>
        <w:spacing w:before="60" w:after="60" w:line="276" w:lineRule="auto"/>
        <w:ind w:firstLine="170"/>
        <w:jc w:val="both"/>
      </w:pPr>
      <w:r>
        <w:rPr>
          <w:rFonts w:ascii="Times New Roman" w:hAnsi="Times New Roman" w:eastAsia="Times New Roman"/>
          <w:sz w:val="24"/>
        </w:rPr>
        <w:t>• Bộ ba bài đồng hành (Validation của Công và Đào 2026 + 2 bài VJES) nên được cite rõ ràng trong Introduction và Methods để editor không nghi salami slicing.</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2026-05-01T09:00:00Z</dcterms:created>
  <dcterms:modified xsi:type="dcterms:W3CDTF">2026-05-15T09:00:00Z</dcterms:modified>
  <cp:category/>
</cp:coreProperties>
</file>