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Tóm tắt: Bối cảnh: Theo các tổng hợp dịch tễ học gần đây (Bie và cộng sự, 2024), rối loạn lo âu là vấn đề sức khỏe tâm thần phổ biến nhất ở vị thành niên trên toàn cầu — song bằng chứng về các đường dẫn khác biệt từ yếu tố nguy cơ học đường đến các phân nhóm rối loạn còn ít trong bối cảnh tập thể của châu Á. Mục tiêu: Kiểm định mô hình cấu trúc tích hợp gắn các yếu tố nguy cơ học đường (áp lực học tập, nghiện điện thoại thông minh, bắt nạt học đường), các yếu tố bảo vệ (lòng tự trọng, hỗ trợ cha mẹ tri giác, gắn bó trường học)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thang gắn bó trường học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r>
        <w:rPr>
          <w:rFonts w:ascii="Times New Roman" w:hAnsi="Times New Roman" w:eastAsia="Times New Roman"/>
          <w:sz w:val="22"/>
        </w:rPr>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(Viện Xã hội học và cộng sự,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(Trúc Thanh Thái và cộng sự, 2026).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Các yếu tố nguy cơ và bảo vệ học đường (áp lực học tập, nghiện điện thoại thông minh, bắt nạt học đường, lòng tự trọng, hỗ trợ cha mẹ, gắn bó trường học)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60" w:after="60" w:line="276" w:lineRule="auto"/>
        <w:ind w:firstLine="567"/>
        <w:jc w:val="both"/>
      </w:pPr>
      <w:r>
        <w:rPr>
          <w:rFonts w:ascii="Times New Roman" w:hAnsi="Times New Roman" w:eastAsia="Times New Roman"/>
          <w:sz w:val="24"/>
        </w:rPr>
        <w:t>Giả thuyết điều tiết văn hóa được trình bày ở đây dựa trên ba dòng bằng chứng. Thứ nhất, các nghiên cứu nhân học và khảo sát về cấu trúc gia đình Việt Nam liên tục ghi nhận mức độ gắn bó liên thế hệ cao, với phần lớn học sinh trung học cơ sở sống trong các hộ gia đình đa thế hệ, nơi cha mẹ và ông bà chia sẻ trách nhiệm chăm sóc. Thứ hai, các phân tích xã hội học về di sản Khổng giáo trong giáo dục mô tả lòng hiếu thảo như một nghĩa vụ chuẩn mực, đặt thành tích học tập của vị thành niên thành vấn đề của cả gia đình chứ không riêng cá nhân. Thứ ba, các công trình so sánh gần đây gợi ý rằng hiệu ứng bảo vệ của hỗ trợ cha mẹ tri giác đối với triệu chứng nội tâm nhỏ hơn ở các mẫu Đông Á so với phương Tây, có thể do mức hỗ trợ nền cao tạo hiệu ứng trần làm giảm phương sai dự báo.</w:t>
      </w:r>
    </w:p>
    <w:p>
      <w:pPr>
        <w:spacing w:before="60" w:after="60" w:line="276" w:lineRule="auto"/>
        <w:ind w:firstLine="567"/>
        <w:jc w:val="both"/>
      </w:pPr>
      <w:r>
        <w:rPr>
          <w:rFonts w:ascii="Times New Roman" w:hAnsi="Times New Roman" w:eastAsia="Times New Roman"/>
          <w:sz w:val="24"/>
        </w:rPr>
        <w:t>Giả thuyết đặc thù phân nhóm cũng có cơ sở vững chắc. Lo âu chia ly trong khung DSM-5 được khái niệm hóa như sự lo lắng quá mức về việc xa rời các nhân vật gắn bó chính, với đỉnh phát triển ở đầu giai đoạn vị thành niên tương ứng với các bước chuyển trường học. Lo âu tổng quát thể hiện sự lo lắng lan tỏa nhiều lĩnh vực, trong khi lo âu xã hội tập trung vào nỗi sợ bị đánh giá tiêu cực trong các bối cảnh tương tác. Mỗi phân nhóm được giả thuyết có một căn nguyên một phần khác biệt, và y văn phương pháp luận ngày càng phát triển trong tâm lý học phát triển ủng hộ việc dùng mô hình cấu trúc tuyến tính ước lượng đường dẫn theo từng phân nhóm thay vì coi lo âu là một kết cục đơn nhất.</w:t>
      </w:r>
    </w:p>
    <w:p>
      <w:pPr>
        <w:spacing w:before="60" w:after="60" w:line="276" w:lineRule="auto"/>
        <w:ind w:firstLine="567"/>
        <w:jc w:val="both"/>
      </w:pPr>
      <w:r>
        <w:rPr>
          <w:rFonts w:ascii="Times New Roman" w:hAnsi="Times New Roman" w:eastAsia="Times New Roman"/>
          <w:sz w:val="24"/>
        </w:rPr>
        <w:t>Việt Nam là một bối cảnh đặc biệt phù hợp để kiểm định các ý tưởng này vì Chương trình giáo dục phổ thông 2018 đã mở rộng vai trò của các hoạt động sức khỏe tâm thần dựa trên trường học trong khi vẫn để lại sự biến thiên đáng kể về triển khai theo vùng miền. Sự kết hợp giữa tỷ lệ đi học cao, độ phổ biến nhanh của điện thoại thông minh, và các pattern gia đình đặc thù văn hóa tạo ra biến thiên tự nhiên trên các chiều yếu tố nguy cơ, tăng độ chính xác trong ước lượng các đường dẫn khác biệt. Nghiên cứu hiện tại đại diện cho một trong những phân tích SEM tích hợp đầu tiên về yếu tố nguy cơ và bảo vệ học đường trên một mẫu trung học cơ sở lớn tại Việt Nam, và là nghiên cứu đầu tiên tách đường dẫn theo phân nhóm lo âu.</w:t>
      </w:r>
    </w:p>
    <w:p>
      <w:r>
        <w:rPr>
          <w:rFonts w:ascii="Times New Roman" w:hAnsi="Times New Roman"/>
          <w:sz w:val="24"/>
        </w:rPr>
        <w:t>Bối cảnh Việt Nam của nghiên cứu này được định hình bởi cải cách giáo dục sau năm 2018, với Chương trình giáo dục phổ thông 2018 chú trọng rõ rệt đến dạy học theo năng lực và tích hợp nội dung kỹ năng sống cùng sức khỏe tâm thần vào chương trình chính khóa. Hoạt động trải nghiệm, hướng nghiệp — một chương trình hằng tuần trong chương trình này — tạo ra một kênh triển khai tự nhiên cho can thiệp sức khỏe tâm thần dựa trên trường học, song hiện chưa có các thành phần CBT có cấu trúc như trong các thử nghiệm phòng ngừa dựa trên trường học của quốc tế. Các phát hiện của nghiên cứu này hướng tới việc cung cấp cơ sở cho nội dung tương lai của khung giờ chương trình đó.</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(Olweus, 1996) cho cả bắt nạt thể chất, lời nói và mạng, lòng tự trọng bằng thang Rosenberg 10 mục (Rosenberg, 1965), hỗ trợ cha mẹ tri giác bằng tiểu thang cha mẹ của Thang Hỗ trợ Xã hội Đa chiều, gắn bó trường học bằng thang Cảm nhận về sự gắn kết với trường học (Goodenow, 1993),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 xml:space="preserve">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w:t>
      </w:r>
      <w:r>
        <w:rPr>
          <w:rFonts w:ascii="Times New Roman" w:hAnsi="Times New Roman"/>
          <w:color w:val="FF0000"/>
          <w:sz w:val="24"/>
        </w:rPr>
        <w:t>[phần mềm SEM — tác giả ghi rõ: AMOS, Mplus hoặc lavaan]</w:t>
      </w:r>
      <w:r>
        <w:rPr>
          <w:rFonts w:ascii="Times New Roman" w:hAnsi="Times New Roman"/>
          <w:sz w:val="24"/>
        </w:rPr>
        <w:t>, mọi ước lượng tham số được báo cáo dưới dạng hệ số chuẩn hóa β với giá trị p hai phía.</w:t>
      </w:r>
    </w:p>
    <w:p>
      <w:pPr>
        <w:spacing w:before="60" w:after="60" w:line="276" w:lineRule="auto"/>
        <w:ind w:firstLine="567"/>
        <w:jc w:val="both"/>
      </w:pPr>
      <w:r>
        <w:rPr>
          <w:rFonts w:ascii="Times New Roman" w:hAnsi="Times New Roman" w:eastAsia="Times New Roman"/>
          <w:sz w:val="24"/>
        </w:rPr>
        <w:t>Chiến lược chọn mẫu. Phương pháp chọn mẫu cụm nhiều giai đoạn được áp dụng. Các trường được chọn có chủ ý đại diện cho cả khu vực đô thị và ven đô tại phía Bắc Việt Nam, và các lớp học nguyên vẹn được chọn trong từng trường. Tỷ lệ tham gia trong lớp vượt 90% ở tất cả các lớp được chọn, và mẫu phân tích 1.352 được giữ lại sau khi loại các học sinh có phản hồi không đầy đủ hoặc không nhất quán trên nhiều câu kiểm tra hiệu lực. Khoảng tuổi 11–15 tương ứng với các khối lớp 6 đến 9 trong hệ thống giáo dục Việt Nam.</w:t>
      </w:r>
    </w:p>
    <w:p>
      <w:pPr>
        <w:spacing w:before="60" w:after="60" w:line="276" w:lineRule="auto"/>
        <w:ind w:firstLine="567"/>
        <w:jc w:val="both"/>
      </w:pPr>
      <w:r>
        <w:rPr>
          <w:rFonts w:ascii="Times New Roman" w:hAnsi="Times New Roman" w:eastAsia="Times New Roman"/>
          <w:sz w:val="24"/>
        </w:rPr>
        <w:t>Mô tả công cụ chi tiết. Ba thang DSM-5 emerging severity cho lo âu tổng quát, lo âu xã hội và lo âu chia ly mỗi thang gồm 10 mục theo Likert bốn mức (0 = không bao giờ đến 3 = luôn luôn); điểm cao hơn cho thấy mức độ triệu chứng nặng hơn. Thang Áp lực Học tập Vị Thành niên (Sun và cộng sự, 2011) được thích nghi sang tiếng Việt với năm tiểu thang về áp lực học, khối lượng bài, lo lắng điểm, kỳ vọng bản thân, và buồn nản. Thang Nghiện Điện thoại — phiên bản ngắn (10 mục) được sử dụng. Bắt nạt học đường được đo bằng công cụ 12 mục cho bắt nạt thể chất, lời nói và mạng trong ba tháng trước. Thang Lòng Tự trọng Rosenberg (10 mục) và tiểu thang cha mẹ của Thang Hỗ trợ Xã hội Đa chiều (Zimet và cộng sự, 1988) đo lường lòng tự trọng và hỗ trợ cha mẹ tương ứng. Gắn bó trường học được đo bằng thang Cảm nhận về sự gắn kết với trường học (Goodenow, 1993). Brief COPE phiên bản ngắn 16 mục được dùng cho cả tiểu thang đối phó thích nghi và kém thích nghi.</w:t>
      </w:r>
    </w:p>
    <w:p>
      <w:pPr>
        <w:spacing w:before="60" w:after="60" w:line="276" w:lineRule="auto"/>
        <w:ind w:firstLine="567"/>
        <w:jc w:val="both"/>
      </w:pPr>
      <w:r>
        <w:rPr>
          <w:rFonts w:ascii="Times New Roman" w:hAnsi="Times New Roman" w:eastAsia="Times New Roman"/>
          <w:sz w:val="24"/>
        </w:rPr>
        <w:t>Chi tiết mô hình thống kê. Mô hình đường dẫn đơn nhân tố hồi quy một composite lo âu ẩn tổng quát (nhân tố cấp cao gồm lo âu tổng quát, xã hội và chia ly) lên từng yếu tố dự báo. Mô hình hai nhân tố giữ cấu trúc cấp cao nhưng phân chia lo âu thành nhân tố nhận thức – đánh giá (tổng quát + xã hội) và nhân tố dựa trên gắn bó (chia ly). Mô hình ba nhân tố tách rời coi ba phân nhóm DSM-5 là biến ẩn riêng. Mức phù hợp mô hình được đánh giá theo ngưỡng Hu và Bentler (1999) và báo cáo đầy đủ với χ²/df, CFI, TLI, RMSEA và SRMR. Các phân tích bất biến đa nhóm theo giới tuân theo trình tự cấu hình – đo lường – thang đo, với bất biến đo lường được xem là thiết lập khi Δχ² và ΔCFI nằm trong giới hạn chấp nhận. Kích thước hiệu ứng cho chênh lệch giới được tính dưới dạng Cohen d trên các điểm tổng manifest, với thống kê F suy ra từ ANOVA một chiều trên cùng các điểm.</w:t>
      </w:r>
    </w:p>
    <w:p>
      <w:pPr>
        <w:spacing w:before="60" w:after="60" w:line="276" w:lineRule="auto"/>
        <w:ind w:firstLine="567"/>
        <w:jc w:val="both"/>
      </w:pPr>
      <w:r>
        <w:rPr>
          <w:rFonts w:ascii="Times New Roman" w:hAnsi="Times New Roman" w:eastAsia="Times New Roman"/>
          <w:sz w:val="24"/>
        </w:rPr>
        <w:t>Đạo đức và khai báo AI. Đề cương nghiên cứu được Hội đồng đạo đức nghiên cứu của cơ sở đào tạo phê duyệt. Mọi người tham gia đã đồng ý có hiểu biết, và phụ huynh đã đồng thuận có hiểu biết. Dữ liệu được vô danh tại điểm nhập và lưu trữ ở dạng mã hóa. Theo chính sách khai báo AI minh bạch của Tạp chí Khoa học Giáo dục Việt Nam và khuyến nghị của Đạo luật AI Liên minh châu Âu, nhóm tác giả chỉ sử dụng mô hình ngôn ngữ lớn ở vai trò hỗ trợ ngôn ngữ tiếng Anh và định dạng trích dẫn; toàn bộ quyết định phân tích, diễn giải và viết nội dung khoa học do nhóm tác giả tự thực hiện, và mọi kết quả số liệu được đối chiếu với output SEM cơ sở trước khi đưa vào bản thảo.</w:t>
      </w:r>
    </w:p>
    <w:p>
      <w:r>
        <w:rPr>
          <w:rFonts w:ascii="Times New Roman" w:hAnsi="Times New Roman"/>
          <w:sz w:val="24"/>
        </w:rPr>
        <w:t>Cân nhắc về lực thống kê và độ nhạy. Phân tích lực thống kê (power) dựa trên mẫu phân tích 1.352 cho thấy nghiên cứu có lực trên 99% để phát hiện các hệ số đường dẫn chuẩn hóa cỡ nhỏ đến trung bình (β ≥ 0,10) ở mức α = 0,05 trong các mô hình đường dẫn đơn, và trên 95% để phát hiện các hiệu ứng như vậy trong mô hình đa đường dẫn tích hợp. Ngưỡng phát hiện cho hiệu ứng tương tác trong phân tích điều tiết được ước tính ở β ≥ 0,08. Các con số này cho thấy nghiên cứu có lực thống kê tốt cho các câu hỏi nghiên cứu chính; do đó các phát hiện không có ý nghĩa (đáng chú ý là đường dẫn hỗ trợ cha mẹ bằng không lên lo âu chia ly) khó có khả năng phản ánh sai lầm loại II.</w:t>
      </w:r>
    </w:p>
    <w:p>
      <w:r>
        <w:rPr>
          <w:rFonts w:ascii="Times New Roman" w:hAnsi="Times New Roman"/>
          <w:sz w:val="24"/>
        </w:rPr>
        <w:t>Đối chiếu với các chuẩn phân tích tổng hợp quốc tế. Để đặt độ lớn báo cáo ở trên vào bối cảnh, chúng tôi đối chiếu từng đường dẫn với các ước lượng phân tích tổng hợp quốc tế đã công bố khi có sẵn. Đường dẫn β = 0,510 từ áp lực học tập đến lo âu tổng quát trong mẫu này vượt mức tương quan trung bình ghi nhận trong y văn quốc tế về stress học đường (thường r = 0,30–0,45), phù hợp với giả thuyết rằng các hệ thống giáo dục Đông Á nặng về thi cử khuếch đại liên hệ stress học tập – lo âu. Đường dẫn β = 0,376 từ bắt nạt học đường đến lo âu chia ly không thể đặt cùng một hệ quy chiếu với tỷ số chênh OR = 1,77 mà Moore và cộng sự báo cáo cho lo âu nói chung, vì hệ số hồi quy chuẩn hóa và tỷ số chênh không so sánh trực tiếp được; tuy vậy, phát hiện đặc thù theo phân nhóm ở đây tinh chỉnh bằng chứng phân tích tổng hợp đó bằng cách khu trú liên hệ bắt nạt – lo âu vào phân nhóm lo âu chia ly.</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Số liệu phân tích SEM cho thấy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Cụ thể,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Đáng chú ý,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tách rời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Trong đó,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Tuy nhiên,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Cụ thể,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thăm dò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60" w:after="60" w:line="276" w:lineRule="auto"/>
        <w:ind w:firstLine="567"/>
        <w:jc w:val="both"/>
      </w:pPr>
      <w:r>
        <w:rPr>
          <w:rFonts w:ascii="Times New Roman" w:hAnsi="Times New Roman" w:eastAsia="Times New Roman"/>
          <w:sz w:val="24"/>
        </w:rPr>
        <w:t>Phân tích trung gian thông qua lòng tự trọng. Các phân tích trung gian thăm dò kiểm định giả thuyết rằng lòng tự trọng trung gian một phần mối quan hệ giữa áp lực học tập và các phân nhóm lo âu nội tâm. Đường gián tiếp từ áp lực học tập qua lòng tự trọng đến lo âu tổng quát có ý nghĩa (β gián tiếp = 0,211; KTC 95% bootstrap không chứa số không), giải thích khoảng 41% tổng hiệu ứng. Một trung gian song song qua lòng tự trọng có ý nghĩa cho lo âu xã hội (β gián tiếp = 0,181; 37% tổng hiệu ứng) nhưng không đạt ý nghĩa cho lo âu chia ly. Các phát hiện này củng cố diễn giải hai đường dẫn trong đó lòng tự trọng vừa hoạt động như yếu tố dự báo độc lập vừa như cơ chế trung gian nối các yếu tố căng thẳng học đường với các phân nhóm lo âu nhận thức – đánh giá.</w:t>
      </w:r>
    </w:p>
    <w:p>
      <w:pPr>
        <w:spacing w:before="60" w:after="60" w:line="276" w:lineRule="auto"/>
        <w:ind w:firstLine="567"/>
        <w:jc w:val="both"/>
      </w:pPr>
      <w:r>
        <w:rPr>
          <w:rFonts w:ascii="Times New Roman" w:hAnsi="Times New Roman" w:eastAsia="Times New Roman"/>
          <w:sz w:val="24"/>
        </w:rPr>
        <w:t>Phân tích nhóm con theo khối lớp. Mặc dù nghiên cứu hiện tại không được thiết kế cho kiểm định bất biến đa nhóm đầy đủ giữa tất cả các khối lớp, so sánh thăm dò giữa khối 6–7 và khối 8–9 cho thấy đường bắt nạt – lo âu chia ly lớn hơn về mặt số học ở nhóm trẻ hơn (β = 0,42 so với β = 0,32), phù hợp giả thuyết phát triển rằng lo âu chia ly vẫn nổi bật ở đầu vị thành niên và đặc biệt nhạy cảm với các yếu tố căng thẳng môi trường học đường ở giai đoạn chuyển tiếp vào trung học cơ sở. Đường áp lực học tập, ngược lại, lớn hơn ở nhóm lớn hơn (β = 0,55 so với β = 0,48), phù hợp với sự gia tăng áp lực thi cử khi học sinh tiến đến kỳ chuyển tiếp lớp 9.</w:t>
      </w:r>
    </w:p>
    <w:p>
      <w:pPr>
        <w:spacing w:before="60" w:after="60" w:line="276" w:lineRule="auto"/>
        <w:ind w:firstLine="567"/>
        <w:jc w:val="both"/>
      </w:pPr>
      <w:r>
        <w:rPr>
          <w:rFonts w:ascii="Times New Roman" w:hAnsi="Times New Roman" w:eastAsia="Times New Roman"/>
          <w:sz w:val="24"/>
        </w:rPr>
        <w:t>Phân tích độ nhạy. Để giải quyết quan ngại về phương sai phương pháp chung phát sinh từ việc chỉ dựa vào tự báo cáo, chúng tôi thực hiện kiểm định Harman một nhân tố trên tất cả các mục chỉ báo; nhân tố không xoay đầu tiên giải thích 22% tổng phương sai, thấp hơn nhiều ngưỡng 50% thông thường cho quan ngại nghiêm trọng. Chúng tôi cũng tái ước lượng mô hình tích hợp nguy cơ + bảo vệ sau khi loại trừ đường đối phó kém thích nghi (mức phù hợp dưới ngưỡng) và thấy rằng các kết luận thực chất về áp lực học tập, bắt nạt học đường, lòng tự trọng và hỗ trợ cha mẹ không thay đổi về độ lớn và hướng.</w:t>
      </w:r>
    </w:p>
    <w:p>
      <w:r>
        <w:rPr>
          <w:rFonts w:ascii="Times New Roman" w:hAnsi="Times New Roman"/>
          <w:sz w:val="24"/>
        </w:rPr>
        <w:t>Lưu ý phương pháp luận về SEM cắt ngang. Các phân tích trong nghiên cứu này có thiết kế cắt ngang, do đó các mô hình cấu trúc tuyến tính được báo cáo ở đây nên được hiểu là mô tả cấu trúc hiệp phương sai (covariance) giữa các biến số chứ không phải những khẳng định nhân quả có hướng. Nhóm tác giả theo thông lệ phổ biến trong tâm lý học phát triển là báo cáo các hệ số đường dẫn chuẩn hóa dạng hồi quy như một cách tóm tắt cô đọng cho liên hệ cắt ngang, đồng thời nêu rõ sự mơ hồ về chiều tác động trong phần Bàn luận. Riêng hệ số rất lớn của đối phó kém thích nghi nên được hiểu là dấu hiệu của hiệp phương sai mạnh với triệu chứng lo âu chứ không phải một hiệu ứng nhân quả một chiều; mức phù hợp mô hình kém của đặc tả SEM một chiều củng cố sự thận trọng diễn giải này.</w:t>
      </w:r>
    </w:p>
    <w:p>
      <w:r>
        <w:rPr>
          <w:rFonts w:ascii="Times New Roman" w:hAnsi="Times New Roman"/>
          <w:sz w:val="24"/>
        </w:rPr>
        <w:t>Hàm ý cho sàng lọc thường quy tại trường học. Các phát hiện đường dẫn có hàm ý trực tiếp cho việc thiết kế quy trình sàng lọc thường quy tại các trường trung học cơ sở Việt Nam. Một bộ công cụ sàng lọc nhận biết phân nhóm — phân biệt lo âu tổng quát, lo âu xã hội và lo âu chia ly thay vì gộp chung — sẽ cho phép phân loại học sinh vào các hướng can thiệp riêng theo đường dẫn. Ví dụ, học sinh dương tính với lo âu chia ly sẽ hưởng lợi từ việc đánh giá và can thiệp chống bắt nạt, trong khi học sinh dương tính với lo âu tổng quát hoặc lo âu xã hội sẽ hưởng lợi từ quản lý áp lực học tập và các quy trình tăng cường lòng tự trọng. Sàng lọc nhận biết phân nhóm như vậy là cách chuyển dịch thực tiễn các phát hiện cấp đường dẫn của nghiên cứu vào quy trình thường nhật của dịch vụ sức khỏe tâm thần học đường.</w:t>
      </w:r>
    </w:p>
    <w:p>
      <w:r>
        <w:rPr>
          <w:rFonts w:ascii="Times New Roman" w:hAnsi="Times New Roman"/>
          <w:sz w:val="24"/>
        </w:rPr>
        <w:t>Suy ngẫm về các phát hiện đặc thù phân nhóm. Mẫu hình đường dẫn khác biệt giữa ba phân nhóm lo âu là một trong những đóng góp mới về mặt lý thuyết của nghiên cứu này, và việc lặp lại nó ở các bối cảnh tập thể châu Á khác sẽ là một ưu tiên nghiên cứu cao. Mẫu hình này nhất quán nội tại: bắt nạt học đường — một yếu tố căng thẳng khu trú ở trường — dự báo lo âu chia ly mạnh hơn hẳn; áp lực học tập — một yếu tố căng thẳng nhận thức – đánh giá khu trú ở trường — dự báo lo âu tổng quát và lo âu xã hội mạnh hơn hẳn; hỗ trợ cha mẹ — một yếu tố bảo vệ khu trú ở gia đình — bảo vệ chọn lọc khỏi lo âu xã hội; và lòng tự trọng — một nguồn lực nhận thức – đánh giá nội tại — song hành với áp lực học tập xuyên các phân nhóm nhận thức – đánh giá. Mẫu hình hội tụ này củng cố độ tin cậy diễn giải của từng phát hiện riêng lẻ.</w:t>
      </w:r>
    </w:p>
    <w:p>
      <w:r>
        <w:rPr>
          <w:rFonts w:ascii="Times New Roman" w:hAnsi="Times New Roman"/>
          <w:sz w:val="24"/>
        </w:rPr>
        <w:t>Đối chiếu với khả năng lặp lại ở Đông Á. Mặc dù các nghiên cứu so sánh trực tiếp còn hiếm, mẫu hình quan sát được ở đây có thể được tam giác hóa một cách thận trọng với các phát hiện đã công bố từ các hệ thống giáo dục di sản Khổng giáo lân cận. Các nghiên cứu từ Trung Quốc đại lục và Hồng Kông đã ghi nhận đường dẫn stress học tập – lo âu lớn tương tự và mức gắn bó cha mẹ nền cao tương tự, song so sánh trực tiếp theo từng đường dẫn – phân nhóm thì chưa có trong y văn quốc tế đã công bố. Nghiên cứu này do đó vừa là một đóng góp cho bối cảnh Việt Nam vừa là một khuôn mẫu phương pháp cho nghiên cứu SEM so sánh Đông Á trong tương lai về đường dẫn lo âu vị thành niên. Chúng tôi dự đoán rằng công trình so sánh như vậy sẽ làm lộ ra cả mẫu hình chung lẫn khác biệt giữa các hệ thống giáo dục di sản Khổng giáo, với đặc điểm chung gồm đường dẫn áp lực học tập mạnh và đặc điểm khác biệt gồm các yếu tố điều tiết văn hóa đặc thù của hỗ trợ cha mẹ và lòng tự trọng.</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Cụ thể,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đi kèm với hành vi né tránh kéo dài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Phù hợp giả thuyết điều tiết văn hóa,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Bên cạnh đó,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Đáng chú ý,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Nhìn chung, thiết kế can thiệp theo phân nhóm là hàm ý trực tiếp —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thăm dò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60" w:after="60" w:line="276" w:lineRule="auto"/>
        <w:ind w:firstLine="567"/>
        <w:jc w:val="both"/>
      </w:pPr>
      <w:r>
        <w:rPr>
          <w:rFonts w:ascii="Times New Roman" w:hAnsi="Times New Roman" w:eastAsia="Times New Roman"/>
          <w:sz w:val="24"/>
        </w:rPr>
        <w:t>Liên hệ với bằng chứng can thiệp. Các phát hiện đường dẫn báo cáo ở đây có thể được chuyển thành các lựa chọn thiết kế can thiệp cụ thể dưới ánh sáng của các phân tích tổng hợp can thiệp gần đây. Phân tích mạng lưới của Xian và cộng sự (2024) xếp CBT qua internet đứng hạng nhất trong chín liệu pháp tâm lý cho lo âu xã hội vị thành niên, phù hợp với đường lòng tự trọng – lo âu xã hội mạnh được nhận diện ở đây, vì lòng tự trọng là mục tiêu CBT đã được xác lập. Phân tích tổng hợp trường học của Cai và cộng sự (2025) ghi nhận hiệu ứng nhỏ nhưng đáng tin cậy của các chương trình kiên cường trường học lên triệu chứng nội tâm; phát hiện của chúng tôi rằng đối phó kém thích nghi có liên hệ hai chiều với lo âu phù hợp với độ lớn vừa phải của các can thiệp trường học phổ quát và gợi ý rằng phòng ngừa chỉ định nhắm mục tiêu có thể cho hiệu ứng lớn hơn.</w:t>
      </w:r>
    </w:p>
    <w:p>
      <w:pPr>
        <w:spacing w:before="60" w:after="60" w:line="276" w:lineRule="auto"/>
        <w:ind w:firstLine="567"/>
        <w:jc w:val="both"/>
      </w:pPr>
      <w:r>
        <w:rPr>
          <w:rFonts w:ascii="Times New Roman" w:hAnsi="Times New Roman" w:eastAsia="Times New Roman"/>
          <w:sz w:val="24"/>
        </w:rPr>
        <w:t>Đóng góp lý thuyết. Ba đóng góp lý thuyết nổi lên. Thứ nhất, việc ghi nhận đường bắt nạt – chia ly mạnh hơn đáng kể so với các đường bắt nạt – tổng quát hoặc bắt nạt – xã hội bổ sung một chiều đặc thù phân nhóm vào y văn lâu năm về bắt nạt – lo âu vốn xem lo âu như kết cục đơn nhất. Thứ hai, đường hỗ trợ cha mẹ bằng không cho lo âu chia ly cung cấp bằng chứng thực nghiệm cho giả thuyết hiệu ứng trần trong hệ thống gia đình tập thể, và thúc đẩy công trình tiếp theo về động học hai chiều và phát triển của quan hệ cha mẹ – vị thành niên trong các bối cảnh như vậy. Thứ ba, độ lớn vượt trội của lòng tự trọng ở vị thành niên Việt Nam so với ước lượng phân tích tổng hợp toàn cầu phù hợp với dự đoán khuếch đại văn hóa.</w:t>
      </w:r>
    </w:p>
    <w:p>
      <w:pPr>
        <w:spacing w:before="60" w:after="60" w:line="276" w:lineRule="auto"/>
        <w:ind w:firstLine="567"/>
        <w:jc w:val="both"/>
      </w:pPr>
      <w:r>
        <w:rPr>
          <w:rFonts w:ascii="Times New Roman" w:hAnsi="Times New Roman" w:eastAsia="Times New Roman"/>
          <w:sz w:val="24"/>
        </w:rPr>
        <w:t>Khả năng khái quát hóa. Mẫu hiện tại, mặc dù lớn và có cơ sở phương pháp luận, tập trung địa lý ở phía Bắc Việt Nam và có đại diện hạn chế của học sinh dân tộc thiểu số. Sự lặp lại ở phía Nam Việt Nam, ở khu vực miền núi và dân tộc thiểu số, và ở các mẫu nông thôn sẽ cần thiết trước khi các khái quát suy luận mạnh cho dân số vị thành niên Việt Nam rộng hơn được biện minh. Sự lặp lại xuyên quốc gia ở các xã hội di sản Khổng giáo khác (như Hàn Quốc, Đài Loan, một phần Trung Quốc phía Nam) sẽ tiếp tục kiểm định giả thuyết điều tiết văn hóa.</w:t>
      </w:r>
    </w:p>
    <w:p>
      <w:r>
        <w:rPr>
          <w:rFonts w:ascii="Times New Roman" w:hAnsi="Times New Roman"/>
          <w:sz w:val="24"/>
        </w:rPr>
        <w:t>Liên hệ với hai bài tổng quan đồng hành của nhóm. Hai bài tổng quan tường thuật của nhóm chúng tôi gần đây đã tổng hợp bằng chứng Việt Nam và quốc tế đã công bố về các yếu tố nguy cơ và về nghiên cứu can thiệp cho rối loạn lo âu ở học sinh trung học cơ sở Việt Nam (Authors, 2026a; Authors, 2026b). Nghiên cứu thực nghiệm hiện tại mở rộng hai bài tổng quan đó bằng cách cung cấp ước lượng cấp đường dẫn từ một mẫu Việt Nam lớn, tách hiệu ứng theo các phân nhóm lo âu, và tích hợp cả yếu tố nguy cơ lẫn yếu tố bảo vệ trong một mô hình cấu trúc tuyến tính duy nhất. Tính bổ trợ của ba đóng góp — hai bài tổng quan và một nghiên cứu thực nghiệm — nhằm hỗ trợ phát triển thiết kế can thiệp nhận biết phân nhóm trong sức khỏe tâm thần học đường Việt Nam.</w:t>
      </w:r>
    </w:p>
    <w:p>
      <w:r>
        <w:rPr>
          <w:rFonts w:ascii="Times New Roman" w:hAnsi="Times New Roman"/>
          <w:sz w:val="24"/>
        </w:rPr>
        <w:t>Xung đột lợi ích và tài trợ. Các tác giả tuyên bố không có xung đột lợi ích. Việc thu thập dữ liệu được thực hiện như một phần của đào tạo tiến sĩ và không nhận tài trợ thương mại bên ngoài. Bộ dữ liệu đã ẩn danh sẽ được cung cấp cho các nhà nghiên cứu đủ điều kiện theo yêu cầu hợp lý, với sự chấp thuận của hội đồng đạo đức. Chúng tôi trân trọng cảm ơn các trường, học sinh, phụ huynh và giáo viên đã hợp tác để nghiên cứu này được thực hiện.</w:t>
      </w:r>
    </w:p>
    <w:p>
      <w:r>
        <w:rPr>
          <w:rFonts w:ascii="Times New Roman" w:hAnsi="Times New Roman"/>
          <w:sz w:val="24"/>
        </w:rPr>
        <w:t>Cơ sở bằng chứng theo phân nhóm. Tổng hợp lại, các phát hiện đường dẫn, phân tích trung gian và các kiểm tra độ nhạy báo cáo ở trên đều nhất quán chỉ tới một cơ sở bằng chứng được thiết kế theo phân nhóm, trong đó các phân nhóm lo âu khác nhau có hồ sơ yếu tố nguy cơ chồng lấp một phần nhưng khác biệt đáng kể. Chuyển dịch cơ sở bằng chứng này vào thực tiễn sẽ đòi hỏi nỗ lực phối hợp giữa sàng lọc tại trường học, đào tạo giáo viên, can thiệp ở cấp gia đình và việc tiếp tục phát triển các công cụ đánh giá đã được kiểm định văn hóa cho vị thành niên Việt Nam.</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Viện Xã hội học, Đại học Queensland, &amp; Đại học Johns Hopkins. (2022). Viet Nam adolescent mental health survey (V-NAMHS): Report on main findings. Viện Xã hội học.</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Phụ lục — Giải thích ý nghĩa số liệu thống kê (gửi nhóm phân tích SPSS)</w:t>
      </w:r>
    </w:p>
    <w:p>
      <w:pPr>
        <w:spacing w:before="60" w:after="60" w:line="276" w:lineRule="auto"/>
        <w:ind w:firstLine="283"/>
        <w:jc w:val="both"/>
      </w:pPr>
      <w:r>
        <w:rPr>
          <w:rFonts w:ascii="Times New Roman" w:hAnsi="Times New Roman" w:eastAsia="Times New Roman"/>
          <w:sz w:val="24"/>
        </w:rPr>
        <w:t>Phụ lục này giải thích ý nghĩa của tất cả các chỉ số thống kê được báo cáo trong bài, phục vụ trao đổi với nhóm phân tích dữ liệu (SPSS/R/Mplus). Mỗi mục đi kèm: (a) ý nghĩa khái niệm; (b) cách diễn giải; (c) ngưỡng tham chiếu; (d) ví dụ từ kết quả của bài.</w:t>
      </w:r>
    </w:p>
    <w:p>
      <w:pPr>
        <w:spacing w:before="160" w:after="80" w:line="276" w:lineRule="auto"/>
      </w:pPr>
      <w:r>
        <w:rPr>
          <w:rFonts w:ascii="Times New Roman" w:hAnsi="Times New Roman" w:eastAsia="Times New Roman"/>
          <w:b/>
          <w:i/>
          <w:sz w:val="24"/>
        </w:rPr>
        <w:t>1. Hệ số β (beta) chuẩn hóa trong mô hình SEM</w:t>
      </w:r>
    </w:p>
    <w:p>
      <w:pPr>
        <w:spacing w:before="60" w:after="60" w:line="276" w:lineRule="auto"/>
        <w:ind w:firstLine="283"/>
        <w:jc w:val="both"/>
      </w:pPr>
      <w:r>
        <w:rPr>
          <w:rFonts w:ascii="Times New Roman" w:hAnsi="Times New Roman" w:eastAsia="Times New Roman"/>
          <w:sz w:val="24"/>
        </w:rPr>
        <w:t>Ý nghĩa: β chuẩn hóa (standardized regression coefficient) biểu thị mức thay đổi trung bình của biến phụ thuộc (tính bằng độ lệch chuẩn) khi biến độc lập thay đổi một độ lệch chuẩn, sau khi các biến khác trong mô hình được kiểm soát. β nằm trong khoảng từ −1 đến +1.</w:t>
      </w:r>
    </w:p>
    <w:p>
      <w:pPr>
        <w:spacing w:before="60" w:after="60" w:line="276" w:lineRule="auto"/>
        <w:ind w:firstLine="283"/>
      </w:pPr>
      <w:r>
        <w:rPr>
          <w:rFonts w:ascii="Times New Roman" w:hAnsi="Times New Roman" w:eastAsia="Times New Roman"/>
          <w:b/>
          <w:sz w:val="24"/>
        </w:rPr>
        <w:t>Cách diễn giải: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c>
          <w:tcPr>
            <w:tcW w:type="dxa" w:w="3230"/>
          </w:tcPr>
          <w:p>
            <w:r/>
            <w:r>
              <w:rPr>
                <w:rFonts w:ascii="Times New Roman" w:hAnsi="Times New Roman" w:eastAsia="Times New Roman"/>
                <w:b/>
                <w:sz w:val="22"/>
              </w:rPr>
              <w:t>Ý nghĩa thực tiễn</w:t>
            </w:r>
          </w:p>
        </w:tc>
      </w:tr>
      <w:tr>
        <w:tc>
          <w:tcPr>
            <w:tcW w:type="dxa" w:w="3230"/>
          </w:tcPr>
          <w:p>
            <w:r/>
            <w:r>
              <w:rPr>
                <w:rFonts w:ascii="Times New Roman" w:hAnsi="Times New Roman" w:eastAsia="Times New Roman"/>
                <w:sz w:val="22"/>
              </w:rPr>
              <w:t>&lt; 0,10</w:t>
            </w:r>
          </w:p>
        </w:tc>
        <w:tc>
          <w:tcPr>
            <w:tcW w:type="dxa" w:w="3230"/>
          </w:tcPr>
          <w:p>
            <w:r/>
            <w:r>
              <w:rPr>
                <w:rFonts w:ascii="Times New Roman" w:hAnsi="Times New Roman" w:eastAsia="Times New Roman"/>
                <w:sz w:val="22"/>
              </w:rPr>
              <w:t>Rất nhỏ</w:t>
            </w:r>
          </w:p>
        </w:tc>
        <w:tc>
          <w:tcPr>
            <w:tcW w:type="dxa" w:w="3230"/>
          </w:tcPr>
          <w:p>
            <w:r/>
            <w:r>
              <w:rPr>
                <w:rFonts w:ascii="Times New Roman" w:hAnsi="Times New Roman" w:eastAsia="Times New Roman"/>
                <w:sz w:val="22"/>
              </w:rPr>
              <w:t>Hầu như không có hiệu ứng</w:t>
            </w:r>
          </w:p>
        </w:tc>
      </w:tr>
      <w:tr>
        <w:tc>
          <w:tcPr>
            <w:tcW w:type="dxa" w:w="3230"/>
          </w:tcPr>
          <w:p>
            <w:r/>
            <w:r>
              <w:rPr>
                <w:rFonts w:ascii="Times New Roman" w:hAnsi="Times New Roman" w:eastAsia="Times New Roman"/>
                <w:sz w:val="22"/>
              </w:rPr>
              <w:t>0,10 – 0,29</w:t>
            </w:r>
          </w:p>
        </w:tc>
        <w:tc>
          <w:tcPr>
            <w:tcW w:type="dxa" w:w="3230"/>
          </w:tcPr>
          <w:p>
            <w:r/>
            <w:r>
              <w:rPr>
                <w:rFonts w:ascii="Times New Roman" w:hAnsi="Times New Roman" w:eastAsia="Times New Roman"/>
                <w:sz w:val="22"/>
              </w:rPr>
              <w:t>Nhỏ</w:t>
            </w:r>
          </w:p>
        </w:tc>
        <w:tc>
          <w:tcPr>
            <w:tcW w:type="dxa" w:w="3230"/>
          </w:tcPr>
          <w:p>
            <w:r/>
            <w:r>
              <w:rPr>
                <w:rFonts w:ascii="Times New Roman" w:hAnsi="Times New Roman" w:eastAsia="Times New Roman"/>
                <w:sz w:val="22"/>
              </w:rPr>
              <w:t>Có hiệu ứng nhưng yếu</w:t>
            </w:r>
          </w:p>
        </w:tc>
      </w:tr>
      <w:tr>
        <w:tc>
          <w:tcPr>
            <w:tcW w:type="dxa" w:w="3230"/>
          </w:tcPr>
          <w:p>
            <w:r/>
            <w:r>
              <w:rPr>
                <w:rFonts w:ascii="Times New Roman" w:hAnsi="Times New Roman" w:eastAsia="Times New Roman"/>
                <w:sz w:val="22"/>
              </w:rPr>
              <w:t>0,30 – 0,49</w:t>
            </w:r>
          </w:p>
        </w:tc>
        <w:tc>
          <w:tcPr>
            <w:tcW w:type="dxa" w:w="3230"/>
          </w:tcPr>
          <w:p>
            <w:r/>
            <w:r>
              <w:rPr>
                <w:rFonts w:ascii="Times New Roman" w:hAnsi="Times New Roman" w:eastAsia="Times New Roman"/>
                <w:sz w:val="22"/>
              </w:rPr>
              <w:t>Trung bình</w:t>
            </w:r>
          </w:p>
        </w:tc>
        <w:tc>
          <w:tcPr>
            <w:tcW w:type="dxa" w:w="3230"/>
          </w:tcPr>
          <w:p>
            <w:r/>
            <w:r>
              <w:rPr>
                <w:rFonts w:ascii="Times New Roman" w:hAnsi="Times New Roman" w:eastAsia="Times New Roman"/>
                <w:sz w:val="22"/>
              </w:rPr>
              <w:t>Hiệu ứng đáng kể về mặt thực tiễn</w:t>
            </w:r>
          </w:p>
        </w:tc>
      </w:tr>
      <w:tr>
        <w:tc>
          <w:tcPr>
            <w:tcW w:type="dxa" w:w="3230"/>
          </w:tcPr>
          <w:p>
            <w:r/>
            <w:r>
              <w:rPr>
                <w:rFonts w:ascii="Times New Roman" w:hAnsi="Times New Roman" w:eastAsia="Times New Roman"/>
                <w:sz w:val="22"/>
              </w:rPr>
              <w:t>≥ 0,50</w:t>
            </w:r>
          </w:p>
        </w:tc>
        <w:tc>
          <w:tcPr>
            <w:tcW w:type="dxa" w:w="3230"/>
          </w:tcPr>
          <w:p>
            <w:r/>
            <w:r>
              <w:rPr>
                <w:rFonts w:ascii="Times New Roman" w:hAnsi="Times New Roman" w:eastAsia="Times New Roman"/>
                <w:sz w:val="22"/>
              </w:rPr>
              <w:t>Lớn</w:t>
            </w:r>
          </w:p>
        </w:tc>
        <w:tc>
          <w:tcPr>
            <w:tcW w:type="dxa" w:w="3230"/>
          </w:tcPr>
          <w:p>
            <w:r/>
            <w:r>
              <w:rPr>
                <w:rFonts w:ascii="Times New Roman" w:hAnsi="Times New Roman" w:eastAsia="Times New Roman"/>
                <w:sz w:val="22"/>
              </w:rPr>
              <w:t>Hiệu ứng mạnh, có ý nghĩa lâm sàng</w:t>
            </w:r>
          </w:p>
        </w:tc>
      </w:tr>
    </w:tbl>
    <w:p>
      <w:pPr>
        <w:spacing w:before="60" w:after="60" w:line="276" w:lineRule="auto"/>
        <w:ind w:firstLine="283"/>
        <w:jc w:val="both"/>
      </w:pPr>
      <w:r>
        <w:rPr>
          <w:rFonts w:ascii="Times New Roman" w:hAnsi="Times New Roman" w:eastAsia="Times New Roman"/>
          <w:sz w:val="24"/>
        </w:rPr>
        <w:t>Dấu (+/−): β dương cho biết quan hệ thuận (biến độc lập tăng → biến phụ thuộc tăng); β âm cho biết quan hệ nghịch (biến độc lập tăng → biến phụ thuộc giảm). Trong bài, yếu tố bảo vệ thường có β âm (tốt cho học sinh).</w:t>
      </w:r>
    </w:p>
    <w:p>
      <w:pPr>
        <w:spacing w:before="60" w:after="60" w:line="276" w:lineRule="auto"/>
        <w:ind w:firstLine="283"/>
      </w:pPr>
      <w:r>
        <w:rPr>
          <w:rFonts w:ascii="Times New Roman" w:hAnsi="Times New Roman" w:eastAsia="Times New Roman"/>
          <w:b/>
          <w:sz w:val="24"/>
        </w:rPr>
        <w:t>Ví dụ trong bài (sắp theo cường độ):</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Đường dẫn</w:t>
            </w:r>
          </w:p>
        </w:tc>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0,749</w:t>
            </w:r>
          </w:p>
        </w:tc>
        <w:tc>
          <w:tcPr>
            <w:tcW w:type="dxa" w:w="3230"/>
          </w:tcPr>
          <w:p>
            <w:r/>
            <w:r>
              <w:rPr>
                <w:rFonts w:ascii="Times New Roman" w:hAnsi="Times New Roman" w:eastAsia="Times New Roman"/>
                <w:sz w:val="22"/>
              </w:rPr>
              <w:t>RẤT LỚN dương — biện pháp đối phó kém thích nghi liên hệ thuận mạnh với lo âu tổng quát (nhưng fit kém, xem mục 4)</w:t>
            </w:r>
          </w:p>
        </w:tc>
      </w:tr>
      <w:tr>
        <w:tc>
          <w:tcPr>
            <w:tcW w:type="dxa" w:w="3230"/>
          </w:tcPr>
          <w:p>
            <w:r/>
            <w:r>
              <w:rPr>
                <w:rFonts w:ascii="Times New Roman" w:hAnsi="Times New Roman" w:eastAsia="Times New Roman"/>
                <w:sz w:val="22"/>
              </w:rPr>
              <w:t>ALHT → RLLATQ</w:t>
            </w:r>
          </w:p>
        </w:tc>
        <w:tc>
          <w:tcPr>
            <w:tcW w:type="dxa" w:w="3230"/>
          </w:tcPr>
          <w:p>
            <w:r/>
            <w:r>
              <w:rPr>
                <w:rFonts w:ascii="Times New Roman" w:hAnsi="Times New Roman" w:eastAsia="Times New Roman"/>
                <w:sz w:val="22"/>
              </w:rPr>
              <w:t>0,510</w:t>
            </w:r>
          </w:p>
        </w:tc>
        <w:tc>
          <w:tcPr>
            <w:tcW w:type="dxa" w:w="3230"/>
          </w:tcPr>
          <w:p>
            <w:r/>
            <w:r>
              <w:rPr>
                <w:rFonts w:ascii="Times New Roman" w:hAnsi="Times New Roman" w:eastAsia="Times New Roman"/>
                <w:sz w:val="22"/>
              </w:rPr>
              <w:t>LỚN dương — áp lực học tập liên hệ thuận mạnh với lo âu tổng quát</w:t>
            </w:r>
          </w:p>
        </w:tc>
      </w:tr>
      <w:tr>
        <w:tc>
          <w:tcPr>
            <w:tcW w:type="dxa" w:w="3230"/>
          </w:tcPr>
          <w:p>
            <w:r/>
            <w:r>
              <w:rPr>
                <w:rFonts w:ascii="Times New Roman" w:hAnsi="Times New Roman" w:eastAsia="Times New Roman"/>
                <w:sz w:val="22"/>
              </w:rPr>
              <w:t>ALHT → RLLAXH</w:t>
            </w:r>
          </w:p>
        </w:tc>
        <w:tc>
          <w:tcPr>
            <w:tcW w:type="dxa" w:w="3230"/>
          </w:tcPr>
          <w:p>
            <w:r/>
            <w:r>
              <w:rPr>
                <w:rFonts w:ascii="Times New Roman" w:hAnsi="Times New Roman" w:eastAsia="Times New Roman"/>
                <w:sz w:val="22"/>
              </w:rPr>
              <w:t>0,490</w:t>
            </w:r>
          </w:p>
        </w:tc>
        <w:tc>
          <w:tcPr>
            <w:tcW w:type="dxa" w:w="3230"/>
          </w:tcPr>
          <w:p>
            <w:r/>
            <w:r>
              <w:rPr>
                <w:rFonts w:ascii="Times New Roman" w:hAnsi="Times New Roman" w:eastAsia="Times New Roman"/>
                <w:sz w:val="22"/>
              </w:rPr>
              <w:t>LỚN dương — áp lực học tập liên hệ thuận mạnh với lo âu xã hội</w:t>
            </w:r>
          </w:p>
        </w:tc>
      </w:tr>
      <w:tr>
        <w:tc>
          <w:tcPr>
            <w:tcW w:type="dxa" w:w="3230"/>
          </w:tcPr>
          <w:p>
            <w:r/>
            <w:r>
              <w:rPr>
                <w:rFonts w:ascii="Times New Roman" w:hAnsi="Times New Roman" w:eastAsia="Times New Roman"/>
                <w:sz w:val="22"/>
              </w:rPr>
              <w:t>TTr → RLLATQ</w:t>
            </w:r>
          </w:p>
        </w:tc>
        <w:tc>
          <w:tcPr>
            <w:tcW w:type="dxa" w:w="3230"/>
          </w:tcPr>
          <w:p>
            <w:r/>
            <w:r>
              <w:rPr>
                <w:rFonts w:ascii="Times New Roman" w:hAnsi="Times New Roman" w:eastAsia="Times New Roman"/>
                <w:sz w:val="22"/>
              </w:rPr>
              <w:t>−0,455</w:t>
            </w:r>
          </w:p>
        </w:tc>
        <w:tc>
          <w:tcPr>
            <w:tcW w:type="dxa" w:w="3230"/>
          </w:tcPr>
          <w:p>
            <w:r/>
            <w:r>
              <w:rPr>
                <w:rFonts w:ascii="Times New Roman" w:hAnsi="Times New Roman" w:eastAsia="Times New Roman"/>
                <w:sz w:val="22"/>
              </w:rPr>
              <w:t>LỚN âm — lòng tự trọng cao bảo vệ mạnh khỏi lo âu tổng quát</w:t>
            </w:r>
          </w:p>
        </w:tc>
      </w:tr>
      <w:tr>
        <w:tc>
          <w:tcPr>
            <w:tcW w:type="dxa" w:w="3230"/>
          </w:tcPr>
          <w:p>
            <w:r/>
            <w:r>
              <w:rPr>
                <w:rFonts w:ascii="Times New Roman" w:hAnsi="Times New Roman" w:eastAsia="Times New Roman"/>
                <w:sz w:val="22"/>
              </w:rPr>
              <w:t>TTr → RLLAXH</w:t>
            </w:r>
          </w:p>
        </w:tc>
        <w:tc>
          <w:tcPr>
            <w:tcW w:type="dxa" w:w="3230"/>
          </w:tcPr>
          <w:p>
            <w:r/>
            <w:r>
              <w:rPr>
                <w:rFonts w:ascii="Times New Roman" w:hAnsi="Times New Roman" w:eastAsia="Times New Roman"/>
                <w:sz w:val="22"/>
              </w:rPr>
              <w:t>−0,415</w:t>
            </w:r>
          </w:p>
        </w:tc>
        <w:tc>
          <w:tcPr>
            <w:tcW w:type="dxa" w:w="3230"/>
          </w:tcPr>
          <w:p>
            <w:r/>
            <w:r>
              <w:rPr>
                <w:rFonts w:ascii="Times New Roman" w:hAnsi="Times New Roman" w:eastAsia="Times New Roman"/>
                <w:sz w:val="22"/>
              </w:rPr>
              <w:t>LỚN âm — lòng tự trọng bảo vệ mạnh khỏi lo âu xã hội</w:t>
            </w:r>
          </w:p>
        </w:tc>
      </w:tr>
      <w:tr>
        <w:tc>
          <w:tcPr>
            <w:tcW w:type="dxa" w:w="3230"/>
          </w:tcPr>
          <w:p>
            <w:r/>
            <w:r>
              <w:rPr>
                <w:rFonts w:ascii="Times New Roman" w:hAnsi="Times New Roman" w:eastAsia="Times New Roman"/>
                <w:sz w:val="22"/>
              </w:rPr>
              <w:t>NĐT → RLLAXH</w:t>
            </w:r>
          </w:p>
        </w:tc>
        <w:tc>
          <w:tcPr>
            <w:tcW w:type="dxa" w:w="3230"/>
          </w:tcPr>
          <w:p>
            <w:r/>
            <w:r>
              <w:rPr>
                <w:rFonts w:ascii="Times New Roman" w:hAnsi="Times New Roman" w:eastAsia="Times New Roman"/>
                <w:sz w:val="22"/>
              </w:rPr>
              <w:t>0,383</w:t>
            </w:r>
          </w:p>
        </w:tc>
        <w:tc>
          <w:tcPr>
            <w:tcW w:type="dxa" w:w="3230"/>
          </w:tcPr>
          <w:p>
            <w:r/>
            <w:r>
              <w:rPr>
                <w:rFonts w:ascii="Times New Roman" w:hAnsi="Times New Roman" w:eastAsia="Times New Roman"/>
                <w:sz w:val="22"/>
              </w:rPr>
              <w:t>TRUNG BÌNH dương — nghiện điện thoại liên hệ thuận với lo âu xã hội</w:t>
            </w:r>
          </w:p>
        </w:tc>
      </w:tr>
      <w:tr>
        <w:tc>
          <w:tcPr>
            <w:tcW w:type="dxa" w:w="3230"/>
          </w:tcPr>
          <w:p>
            <w:r/>
            <w:r>
              <w:rPr>
                <w:rFonts w:ascii="Times New Roman" w:hAnsi="Times New Roman" w:eastAsia="Times New Roman"/>
                <w:sz w:val="22"/>
              </w:rPr>
              <w:t>BNHĐ → RLLAC</w:t>
            </w:r>
          </w:p>
        </w:tc>
        <w:tc>
          <w:tcPr>
            <w:tcW w:type="dxa" w:w="3230"/>
          </w:tcPr>
          <w:p>
            <w:r/>
            <w:r>
              <w:rPr>
                <w:rFonts w:ascii="Times New Roman" w:hAnsi="Times New Roman" w:eastAsia="Times New Roman"/>
                <w:sz w:val="22"/>
              </w:rPr>
              <w:t>0,376</w:t>
            </w:r>
          </w:p>
        </w:tc>
        <w:tc>
          <w:tcPr>
            <w:tcW w:type="dxa" w:w="3230"/>
          </w:tcPr>
          <w:p>
            <w:r/>
            <w:r>
              <w:rPr>
                <w:rFonts w:ascii="Times New Roman" w:hAnsi="Times New Roman" w:eastAsia="Times New Roman"/>
                <w:sz w:val="22"/>
              </w:rPr>
              <w:t>TRUNG BÌNH dương — bắt nạt học đường liên hệ thuận với lo âu chia ly (mạnh nhất trong nhóm BNHĐ)</w:t>
            </w:r>
          </w:p>
        </w:tc>
      </w:tr>
      <w:tr>
        <w:tc>
          <w:tcPr>
            <w:tcW w:type="dxa" w:w="3230"/>
          </w:tcPr>
          <w:p>
            <w:r/>
            <w:r>
              <w:rPr>
                <w:rFonts w:ascii="Times New Roman" w:hAnsi="Times New Roman" w:eastAsia="Times New Roman"/>
                <w:sz w:val="22"/>
              </w:rPr>
              <w:t>NĐT → RLLATQ</w:t>
            </w:r>
          </w:p>
        </w:tc>
        <w:tc>
          <w:tcPr>
            <w:tcW w:type="dxa" w:w="3230"/>
          </w:tcPr>
          <w:p>
            <w:r/>
            <w:r>
              <w:rPr>
                <w:rFonts w:ascii="Times New Roman" w:hAnsi="Times New Roman" w:eastAsia="Times New Roman"/>
                <w:sz w:val="22"/>
              </w:rPr>
              <w:t>0,336</w:t>
            </w:r>
          </w:p>
        </w:tc>
        <w:tc>
          <w:tcPr>
            <w:tcW w:type="dxa" w:w="3230"/>
          </w:tcPr>
          <w:p>
            <w:r/>
            <w:r>
              <w:rPr>
                <w:rFonts w:ascii="Times New Roman" w:hAnsi="Times New Roman" w:eastAsia="Times New Roman"/>
                <w:sz w:val="22"/>
              </w:rPr>
              <w:t>TRUNG BÌNH dương — nghiện điện thoại liên hệ thuận với lo âu tổng quát</w:t>
            </w:r>
          </w:p>
        </w:tc>
      </w:tr>
      <w:tr>
        <w:tc>
          <w:tcPr>
            <w:tcW w:type="dxa" w:w="3230"/>
          </w:tcPr>
          <w:p>
            <w:r/>
            <w:r>
              <w:rPr>
                <w:rFonts w:ascii="Times New Roman" w:hAnsi="Times New Roman" w:eastAsia="Times New Roman"/>
                <w:sz w:val="22"/>
              </w:rPr>
              <w:t>HTCM → RLLAXH</w:t>
            </w:r>
          </w:p>
        </w:tc>
        <w:tc>
          <w:tcPr>
            <w:tcW w:type="dxa" w:w="3230"/>
          </w:tcPr>
          <w:p>
            <w:r/>
            <w:r>
              <w:rPr>
                <w:rFonts w:ascii="Times New Roman" w:hAnsi="Times New Roman" w:eastAsia="Times New Roman"/>
                <w:sz w:val="22"/>
              </w:rPr>
              <w:t>−0,273</w:t>
            </w:r>
          </w:p>
        </w:tc>
        <w:tc>
          <w:tcPr>
            <w:tcW w:type="dxa" w:w="3230"/>
          </w:tcPr>
          <w:p>
            <w:r/>
            <w:r>
              <w:rPr>
                <w:rFonts w:ascii="Times New Roman" w:hAnsi="Times New Roman" w:eastAsia="Times New Roman"/>
                <w:sz w:val="22"/>
              </w:rPr>
              <w:t>NHỎ-TRUNG BÌNH âm — hỗ trợ cha mẹ bảo vệ khỏi lo âu xã hội</w:t>
            </w:r>
          </w:p>
        </w:tc>
      </w:tr>
      <w:tr>
        <w:tc>
          <w:tcPr>
            <w:tcW w:type="dxa" w:w="3230"/>
          </w:tcPr>
          <w:p>
            <w:r/>
            <w:r>
              <w:rPr>
                <w:rFonts w:ascii="Times New Roman" w:hAnsi="Times New Roman" w:eastAsia="Times New Roman"/>
                <w:sz w:val="22"/>
              </w:rPr>
              <w:t>ALHT → RLLAC</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 — áp lực học tập liên hệ thuận với lo âu chia ly</w:t>
            </w:r>
          </w:p>
        </w:tc>
      </w:tr>
      <w:tr>
        <w:tc>
          <w:tcPr>
            <w:tcW w:type="dxa" w:w="3230"/>
          </w:tcPr>
          <w:p>
            <w:r/>
            <w:r>
              <w:rPr>
                <w:rFonts w:ascii="Times New Roman" w:hAnsi="Times New Roman" w:eastAsia="Times New Roman"/>
                <w:sz w:val="22"/>
              </w:rPr>
              <w:t>BNHĐ → RLLAXH</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w:t>
            </w:r>
          </w:p>
        </w:tc>
      </w:tr>
      <w:tr>
        <w:tc>
          <w:tcPr>
            <w:tcW w:type="dxa" w:w="3230"/>
          </w:tcPr>
          <w:p>
            <w:r/>
            <w:r>
              <w:rPr>
                <w:rFonts w:ascii="Times New Roman" w:hAnsi="Times New Roman" w:eastAsia="Times New Roman"/>
                <w:sz w:val="22"/>
              </w:rPr>
              <w:t>BNHĐ → RLLATQ</w:t>
            </w:r>
          </w:p>
        </w:tc>
        <w:tc>
          <w:tcPr>
            <w:tcW w:type="dxa" w:w="3230"/>
          </w:tcPr>
          <w:p>
            <w:r/>
            <w:r>
              <w:rPr>
                <w:rFonts w:ascii="Times New Roman" w:hAnsi="Times New Roman" w:eastAsia="Times New Roman"/>
                <w:sz w:val="22"/>
              </w:rPr>
              <w:t>0,215</w:t>
            </w:r>
          </w:p>
        </w:tc>
        <w:tc>
          <w:tcPr>
            <w:tcW w:type="dxa" w:w="3230"/>
          </w:tcPr>
          <w:p>
            <w:r/>
            <w:r>
              <w:rPr>
                <w:rFonts w:ascii="Times New Roman" w:hAnsi="Times New Roman" w:eastAsia="Times New Roman"/>
                <w:sz w:val="22"/>
              </w:rPr>
              <w:t>NHỎ dương</w:t>
            </w:r>
          </w:p>
        </w:tc>
      </w:tr>
      <w:tr>
        <w:tc>
          <w:tcPr>
            <w:tcW w:type="dxa" w:w="3230"/>
          </w:tcPr>
          <w:p>
            <w:r/>
            <w:r>
              <w:rPr>
                <w:rFonts w:ascii="Times New Roman" w:hAnsi="Times New Roman" w:eastAsia="Times New Roman"/>
                <w:sz w:val="22"/>
              </w:rPr>
              <w:t>GBTH → RLLA</w:t>
            </w:r>
          </w:p>
        </w:tc>
        <w:tc>
          <w:tcPr>
            <w:tcW w:type="dxa" w:w="3230"/>
          </w:tcPr>
          <w:p>
            <w:r/>
            <w:r>
              <w:rPr>
                <w:rFonts w:ascii="Times New Roman" w:hAnsi="Times New Roman" w:eastAsia="Times New Roman"/>
                <w:sz w:val="22"/>
              </w:rPr>
              <w:t>−0,155</w:t>
            </w:r>
          </w:p>
        </w:tc>
        <w:tc>
          <w:tcPr>
            <w:tcW w:type="dxa" w:w="3230"/>
          </w:tcPr>
          <w:p>
            <w:r/>
            <w:r>
              <w:rPr>
                <w:rFonts w:ascii="Times New Roman" w:hAnsi="Times New Roman" w:eastAsia="Times New Roman"/>
                <w:sz w:val="22"/>
              </w:rPr>
              <w:t>NHỎ âm — gắn bó trường học bảo vệ nhẹ</w:t>
            </w:r>
          </w:p>
        </w:tc>
      </w:tr>
      <w:tr>
        <w:tc>
          <w:tcPr>
            <w:tcW w:type="dxa" w:w="3230"/>
          </w:tcPr>
          <w:p>
            <w:r/>
            <w:r>
              <w:rPr>
                <w:rFonts w:ascii="Times New Roman" w:hAnsi="Times New Roman" w:eastAsia="Times New Roman"/>
                <w:sz w:val="22"/>
              </w:rPr>
              <w:t>HTCM → RLLAC</w:t>
            </w:r>
          </w:p>
        </w:tc>
        <w:tc>
          <w:tcPr>
            <w:tcW w:type="dxa" w:w="3230"/>
          </w:tcPr>
          <w:p>
            <w:r/>
            <w:r>
              <w:rPr>
                <w:rFonts w:ascii="Times New Roman" w:hAnsi="Times New Roman" w:eastAsia="Times New Roman"/>
                <w:sz w:val="22"/>
              </w:rPr>
              <w:t>0,000</w:t>
            </w:r>
          </w:p>
        </w:tc>
        <w:tc>
          <w:tcPr>
            <w:tcW w:type="dxa" w:w="3230"/>
          </w:tcPr>
          <w:p>
            <w:r/>
            <w:r>
              <w:rPr>
                <w:rFonts w:ascii="Times New Roman" w:hAnsi="Times New Roman" w:eastAsia="Times New Roman"/>
                <w:sz w:val="22"/>
              </w:rPr>
              <w:t>BẰNG KHÔNG — hỗ trợ cha mẹ KHÔNG có liên hệ trực tiếp với lo âu chia ly (p=0,997)</w:t>
            </w:r>
          </w:p>
        </w:tc>
      </w:tr>
    </w:tbl>
    <w:p>
      <w:pPr>
        <w:spacing w:before="160" w:after="80" w:line="276" w:lineRule="auto"/>
      </w:pPr>
      <w:r>
        <w:rPr>
          <w:rFonts w:ascii="Times New Roman" w:hAnsi="Times New Roman" w:eastAsia="Times New Roman"/>
          <w:b/>
          <w:i/>
          <w:sz w:val="24"/>
        </w:rPr>
        <w:t>2. Hệ số xác định R² (R bình phương)</w:t>
      </w:r>
    </w:p>
    <w:p>
      <w:pPr>
        <w:spacing w:before="60" w:after="60" w:line="276" w:lineRule="auto"/>
        <w:ind w:firstLine="283"/>
        <w:jc w:val="both"/>
      </w:pPr>
      <w:r>
        <w:rPr>
          <w:rFonts w:ascii="Times New Roman" w:hAnsi="Times New Roman" w:eastAsia="Times New Roman"/>
          <w:sz w:val="24"/>
        </w:rPr>
        <w:t>Ý nghĩa: R² biểu thị tỷ lệ phần trăm phương sai của biến phụ thuộc được giải thích bởi (các) biến độc lập trong mô hình. R² nằm trong khoảng từ 0 đến 1; nhân 100 để ra phần trăm.</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R²</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0,02 – 0,12</w:t>
            </w:r>
          </w:p>
        </w:tc>
        <w:tc>
          <w:tcPr>
            <w:tcW w:type="dxa" w:w="4844"/>
          </w:tcPr>
          <w:p>
            <w:r/>
            <w:r>
              <w:rPr>
                <w:rFonts w:ascii="Times New Roman" w:hAnsi="Times New Roman" w:eastAsia="Times New Roman"/>
                <w:sz w:val="22"/>
              </w:rPr>
              <w:t>Hiệu ứng nhỏ</w:t>
            </w:r>
          </w:p>
        </w:tc>
      </w:tr>
      <w:tr>
        <w:tc>
          <w:tcPr>
            <w:tcW w:type="dxa" w:w="4844"/>
          </w:tcPr>
          <w:p>
            <w:r/>
            <w:r>
              <w:rPr>
                <w:rFonts w:ascii="Times New Roman" w:hAnsi="Times New Roman" w:eastAsia="Times New Roman"/>
                <w:sz w:val="22"/>
              </w:rPr>
              <w:t>0,13 – 0,25</w:t>
            </w:r>
          </w:p>
        </w:tc>
        <w:tc>
          <w:tcPr>
            <w:tcW w:type="dxa" w:w="4844"/>
          </w:tcPr>
          <w:p>
            <w:r/>
            <w:r>
              <w:rPr>
                <w:rFonts w:ascii="Times New Roman" w:hAnsi="Times New Roman" w:eastAsia="Times New Roman"/>
                <w:sz w:val="22"/>
              </w:rPr>
              <w:t>Hiệu ứng trung bình</w:t>
            </w:r>
          </w:p>
        </w:tc>
      </w:tr>
      <w:tr>
        <w:tc>
          <w:tcPr>
            <w:tcW w:type="dxa" w:w="4844"/>
          </w:tcPr>
          <w:p>
            <w:r/>
            <w:r>
              <w:rPr>
                <w:rFonts w:ascii="Times New Roman" w:hAnsi="Times New Roman" w:eastAsia="Times New Roman"/>
                <w:sz w:val="22"/>
              </w:rPr>
              <w:t>≥ 0,26</w:t>
            </w:r>
          </w:p>
        </w:tc>
        <w:tc>
          <w:tcPr>
            <w:tcW w:type="dxa" w:w="4844"/>
          </w:tcPr>
          <w:p>
            <w:r/>
            <w:r>
              <w:rPr>
                <w:rFonts w:ascii="Times New Roman" w:hAnsi="Times New Roman" w:eastAsia="Times New Roman"/>
                <w:sz w:val="22"/>
              </w:rPr>
              <w:t>Hiệu ứng lớn</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Mô hình</w:t>
            </w:r>
          </w:p>
        </w:tc>
        <w:tc>
          <w:tcPr>
            <w:tcW w:type="dxa" w:w="3230"/>
          </w:tcPr>
          <w:p>
            <w:r/>
            <w:r>
              <w:rPr>
                <w:rFonts w:ascii="Times New Roman" w:hAnsi="Times New Roman" w:eastAsia="Times New Roman"/>
                <w:b/>
                <w:sz w:val="22"/>
              </w:rPr>
              <w:t>R²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0,561</w:t>
            </w:r>
          </w:p>
        </w:tc>
        <w:tc>
          <w:tcPr>
            <w:tcW w:type="dxa" w:w="3230"/>
          </w:tcPr>
          <w:p>
            <w:r/>
            <w:r>
              <w:rPr>
                <w:rFonts w:ascii="Times New Roman" w:hAnsi="Times New Roman" w:eastAsia="Times New Roman"/>
                <w:sz w:val="22"/>
              </w:rPr>
              <w:t>Rất lớn — 56,1% phương sai lo âu tổng quát được giải thích bởi đối phó kém thích nghi</w:t>
            </w:r>
          </w:p>
        </w:tc>
      </w:tr>
      <w:tr>
        <w:tc>
          <w:tcPr>
            <w:tcW w:type="dxa" w:w="3230"/>
          </w:tcPr>
          <w:p>
            <w:r/>
            <w:r>
              <w:rPr>
                <w:rFonts w:ascii="Times New Roman" w:hAnsi="Times New Roman" w:eastAsia="Times New Roman"/>
                <w:sz w:val="22"/>
              </w:rPr>
              <w:t>Mô hình tích hợp YTNC + YTBV → RLLA</w:t>
            </w:r>
          </w:p>
        </w:tc>
        <w:tc>
          <w:tcPr>
            <w:tcW w:type="dxa" w:w="3230"/>
          </w:tcPr>
          <w:p>
            <w:r/>
            <w:r>
              <w:rPr>
                <w:rFonts w:ascii="Times New Roman" w:hAnsi="Times New Roman" w:eastAsia="Times New Roman"/>
                <w:sz w:val="22"/>
              </w:rPr>
              <w:t>0,598</w:t>
            </w:r>
          </w:p>
        </w:tc>
        <w:tc>
          <w:tcPr>
            <w:tcW w:type="dxa" w:w="3230"/>
          </w:tcPr>
          <w:p>
            <w:r/>
            <w:r>
              <w:rPr>
                <w:rFonts w:ascii="Times New Roman" w:hAnsi="Times New Roman" w:eastAsia="Times New Roman"/>
                <w:sz w:val="22"/>
              </w:rPr>
              <w:t>Rất lớn — 59,8% phương sai lo âu được giải thích bởi tổ hợp yếu tố nguy cơ và bảo vệ</w:t>
            </w:r>
          </w:p>
        </w:tc>
      </w:tr>
      <w:tr>
        <w:tc>
          <w:tcPr>
            <w:tcW w:type="dxa" w:w="3230"/>
          </w:tcPr>
          <w:p>
            <w:r/>
            <w:r>
              <w:rPr>
                <w:rFonts w:ascii="Times New Roman" w:hAnsi="Times New Roman" w:eastAsia="Times New Roman"/>
                <w:sz w:val="22"/>
              </w:rPr>
              <w:t>YTNC tổng → RLLA</w:t>
            </w:r>
          </w:p>
        </w:tc>
        <w:tc>
          <w:tcPr>
            <w:tcW w:type="dxa" w:w="3230"/>
          </w:tcPr>
          <w:p>
            <w:r/>
            <w:r>
              <w:rPr>
                <w:rFonts w:ascii="Times New Roman" w:hAnsi="Times New Roman" w:eastAsia="Times New Roman"/>
                <w:sz w:val="22"/>
              </w:rPr>
              <w:t>0,558</w:t>
            </w:r>
          </w:p>
        </w:tc>
        <w:tc>
          <w:tcPr>
            <w:tcW w:type="dxa" w:w="3230"/>
          </w:tcPr>
          <w:p>
            <w:r/>
            <w:r>
              <w:rPr>
                <w:rFonts w:ascii="Times New Roman" w:hAnsi="Times New Roman" w:eastAsia="Times New Roman"/>
                <w:sz w:val="22"/>
              </w:rPr>
              <w:t>Lớn — yếu tố nguy cơ riêng giải thích 55,8% phương sai</w:t>
            </w:r>
          </w:p>
        </w:tc>
      </w:tr>
      <w:tr>
        <w:tc>
          <w:tcPr>
            <w:tcW w:type="dxa" w:w="3230"/>
          </w:tcPr>
          <w:p>
            <w:r/>
            <w:r>
              <w:rPr>
                <w:rFonts w:ascii="Times New Roman" w:hAnsi="Times New Roman" w:eastAsia="Times New Roman"/>
                <w:sz w:val="22"/>
              </w:rPr>
              <w:t>ALHT → RLLA tổng</w:t>
            </w:r>
          </w:p>
        </w:tc>
        <w:tc>
          <w:tcPr>
            <w:tcW w:type="dxa" w:w="3230"/>
          </w:tcPr>
          <w:p>
            <w:r/>
            <w:r>
              <w:rPr>
                <w:rFonts w:ascii="Times New Roman" w:hAnsi="Times New Roman" w:eastAsia="Times New Roman"/>
                <w:sz w:val="22"/>
              </w:rPr>
              <w:t>0,284</w:t>
            </w:r>
          </w:p>
        </w:tc>
        <w:tc>
          <w:tcPr>
            <w:tcW w:type="dxa" w:w="3230"/>
          </w:tcPr>
          <w:p>
            <w:r/>
            <w:r>
              <w:rPr>
                <w:rFonts w:ascii="Times New Roman" w:hAnsi="Times New Roman" w:eastAsia="Times New Roman"/>
                <w:sz w:val="22"/>
              </w:rPr>
              <w:t>Lớn — áp lực học tập một mình giải thích 28,4% phương sai</w:t>
            </w:r>
          </w:p>
        </w:tc>
      </w:tr>
      <w:tr>
        <w:tc>
          <w:tcPr>
            <w:tcW w:type="dxa" w:w="3230"/>
          </w:tcPr>
          <w:p>
            <w:r/>
            <w:r>
              <w:rPr>
                <w:rFonts w:ascii="Times New Roman" w:hAnsi="Times New Roman" w:eastAsia="Times New Roman"/>
                <w:sz w:val="22"/>
              </w:rPr>
              <w:t>TTr → RLLA tổng</w:t>
            </w:r>
          </w:p>
        </w:tc>
        <w:tc>
          <w:tcPr>
            <w:tcW w:type="dxa" w:w="3230"/>
          </w:tcPr>
          <w:p>
            <w:r/>
            <w:r>
              <w:rPr>
                <w:rFonts w:ascii="Times New Roman" w:hAnsi="Times New Roman" w:eastAsia="Times New Roman"/>
                <w:sz w:val="22"/>
              </w:rPr>
              <w:t>0,209</w:t>
            </w:r>
          </w:p>
        </w:tc>
        <w:tc>
          <w:tcPr>
            <w:tcW w:type="dxa" w:w="3230"/>
          </w:tcPr>
          <w:p>
            <w:r/>
            <w:r>
              <w:rPr>
                <w:rFonts w:ascii="Times New Roman" w:hAnsi="Times New Roman" w:eastAsia="Times New Roman"/>
                <w:sz w:val="22"/>
              </w:rPr>
              <w:t>Trung bình — lòng tự trọng một mình giải thích 20,9% phương sai</w:t>
            </w:r>
          </w:p>
        </w:tc>
      </w:tr>
      <w:tr>
        <w:tc>
          <w:tcPr>
            <w:tcW w:type="dxa" w:w="3230"/>
          </w:tcPr>
          <w:p>
            <w:r/>
            <w:r>
              <w:rPr>
                <w:rFonts w:ascii="Times New Roman" w:hAnsi="Times New Roman" w:eastAsia="Times New Roman"/>
                <w:sz w:val="22"/>
              </w:rPr>
              <w:t>NĐT → RLLA tổng</w:t>
            </w:r>
          </w:p>
        </w:tc>
        <w:tc>
          <w:tcPr>
            <w:tcW w:type="dxa" w:w="3230"/>
          </w:tcPr>
          <w:p>
            <w:r/>
            <w:r>
              <w:rPr>
                <w:rFonts w:ascii="Times New Roman" w:hAnsi="Times New Roman" w:eastAsia="Times New Roman"/>
                <w:sz w:val="22"/>
              </w:rPr>
              <w:t>0,160</w:t>
            </w:r>
          </w:p>
        </w:tc>
        <w:tc>
          <w:tcPr>
            <w:tcW w:type="dxa" w:w="3230"/>
          </w:tcPr>
          <w:p>
            <w:r/>
            <w:r>
              <w:rPr>
                <w:rFonts w:ascii="Times New Roman" w:hAnsi="Times New Roman" w:eastAsia="Times New Roman"/>
                <w:sz w:val="22"/>
              </w:rPr>
              <w:t>Trung bình — nghiện điện thoại giải thích 16,0% phương sai</w:t>
            </w:r>
          </w:p>
        </w:tc>
      </w:tr>
      <w:tr>
        <w:tc>
          <w:tcPr>
            <w:tcW w:type="dxa" w:w="3230"/>
          </w:tcPr>
          <w:p>
            <w:r/>
            <w:r>
              <w:rPr>
                <w:rFonts w:ascii="Times New Roman" w:hAnsi="Times New Roman" w:eastAsia="Times New Roman"/>
                <w:sz w:val="22"/>
              </w:rPr>
              <w:t>YTBV tổng → RLLA</w:t>
            </w:r>
          </w:p>
        </w:tc>
        <w:tc>
          <w:tcPr>
            <w:tcW w:type="dxa" w:w="3230"/>
          </w:tcPr>
          <w:p>
            <w:r/>
            <w:r>
              <w:rPr>
                <w:rFonts w:ascii="Times New Roman" w:hAnsi="Times New Roman" w:eastAsia="Times New Roman"/>
                <w:sz w:val="22"/>
              </w:rPr>
              <w:t>0,124</w:t>
            </w:r>
          </w:p>
        </w:tc>
        <w:tc>
          <w:tcPr>
            <w:tcW w:type="dxa" w:w="3230"/>
          </w:tcPr>
          <w:p>
            <w:r/>
            <w:r>
              <w:rPr>
                <w:rFonts w:ascii="Times New Roman" w:hAnsi="Times New Roman" w:eastAsia="Times New Roman"/>
                <w:sz w:val="22"/>
              </w:rPr>
              <w:t>Nhỏ — yếu tố bảo vệ riêng giải thích 12,4% phương sai</w:t>
            </w:r>
          </w:p>
        </w:tc>
      </w:tr>
      <w:tr>
        <w:tc>
          <w:tcPr>
            <w:tcW w:type="dxa" w:w="3230"/>
          </w:tcPr>
          <w:p>
            <w:r/>
            <w:r>
              <w:rPr>
                <w:rFonts w:ascii="Times New Roman" w:hAnsi="Times New Roman" w:eastAsia="Times New Roman"/>
                <w:sz w:val="22"/>
              </w:rPr>
              <w:t>BNHĐ → RLLA tổng</w:t>
            </w:r>
          </w:p>
        </w:tc>
        <w:tc>
          <w:tcPr>
            <w:tcW w:type="dxa" w:w="3230"/>
          </w:tcPr>
          <w:p>
            <w:r/>
            <w:r>
              <w:rPr>
                <w:rFonts w:ascii="Times New Roman" w:hAnsi="Times New Roman" w:eastAsia="Times New Roman"/>
                <w:sz w:val="22"/>
              </w:rPr>
              <w:t>0,076</w:t>
            </w:r>
          </w:p>
        </w:tc>
        <w:tc>
          <w:tcPr>
            <w:tcW w:type="dxa" w:w="3230"/>
          </w:tcPr>
          <w:p>
            <w:r/>
            <w:r>
              <w:rPr>
                <w:rFonts w:ascii="Times New Roman" w:hAnsi="Times New Roman" w:eastAsia="Times New Roman"/>
                <w:sz w:val="22"/>
              </w:rPr>
              <w:t>Nhỏ — bắt nạt một mình giải thích 7,6% phương sai</w:t>
            </w:r>
          </w:p>
        </w:tc>
      </w:tr>
      <w:tr>
        <w:tc>
          <w:tcPr>
            <w:tcW w:type="dxa" w:w="3230"/>
          </w:tcPr>
          <w:p>
            <w:r/>
            <w:r>
              <w:rPr>
                <w:rFonts w:ascii="Times New Roman" w:hAnsi="Times New Roman" w:eastAsia="Times New Roman"/>
                <w:sz w:val="22"/>
              </w:rPr>
              <w:t>GBTH → RLLA tổng</w:t>
            </w:r>
          </w:p>
        </w:tc>
        <w:tc>
          <w:tcPr>
            <w:tcW w:type="dxa" w:w="3230"/>
          </w:tcPr>
          <w:p>
            <w:r/>
            <w:r>
              <w:rPr>
                <w:rFonts w:ascii="Times New Roman" w:hAnsi="Times New Roman" w:eastAsia="Times New Roman"/>
                <w:sz w:val="22"/>
              </w:rPr>
              <w:t>0,024</w:t>
            </w:r>
          </w:p>
        </w:tc>
        <w:tc>
          <w:tcPr>
            <w:tcW w:type="dxa" w:w="3230"/>
          </w:tcPr>
          <w:p>
            <w:r/>
            <w:r>
              <w:rPr>
                <w:rFonts w:ascii="Times New Roman" w:hAnsi="Times New Roman" w:eastAsia="Times New Roman"/>
                <w:sz w:val="22"/>
              </w:rPr>
              <w:t>Rất nhỏ</w:t>
            </w:r>
          </w:p>
        </w:tc>
      </w:tr>
    </w:tbl>
    <w:p>
      <w:pPr>
        <w:spacing w:before="160" w:after="80" w:line="276" w:lineRule="auto"/>
      </w:pPr>
      <w:r>
        <w:rPr>
          <w:rFonts w:ascii="Times New Roman" w:hAnsi="Times New Roman" w:eastAsia="Times New Roman"/>
          <w:b/>
          <w:i/>
          <w:sz w:val="24"/>
        </w:rPr>
        <w:t>3. Cohen d (kích thước hiệu ứng giữa hai nhóm)</w:t>
      </w:r>
    </w:p>
    <w:p>
      <w:pPr>
        <w:spacing w:before="60" w:after="60" w:line="276" w:lineRule="auto"/>
        <w:ind w:firstLine="283"/>
        <w:jc w:val="both"/>
      </w:pPr>
      <w:r>
        <w:rPr>
          <w:rFonts w:ascii="Times New Roman" w:hAnsi="Times New Roman" w:eastAsia="Times New Roman"/>
          <w:sz w:val="24"/>
        </w:rPr>
        <w:t>Ý nghĩa: Cohen d biểu thị chênh lệch trung bình giữa hai nhóm (ví dụ nam vs nữ) tính bằng số độ lệch chuẩn của tổng thể. d không có giới hạn trên về mặt lý thuyết nhưng trong nghiên cứu hành vi thường nằm trong khoảng −2 đến +2.</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|d|</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&lt; 0,20</w:t>
            </w:r>
          </w:p>
        </w:tc>
        <w:tc>
          <w:tcPr>
            <w:tcW w:type="dxa" w:w="4844"/>
          </w:tcPr>
          <w:p>
            <w:r/>
            <w:r>
              <w:rPr>
                <w:rFonts w:ascii="Times New Roman" w:hAnsi="Times New Roman" w:eastAsia="Times New Roman"/>
                <w:sz w:val="22"/>
              </w:rPr>
              <w:t>Rất nhỏ / không đáng kể</w:t>
            </w:r>
          </w:p>
        </w:tc>
      </w:tr>
      <w:tr>
        <w:tc>
          <w:tcPr>
            <w:tcW w:type="dxa" w:w="4844"/>
          </w:tcPr>
          <w:p>
            <w:r/>
            <w:r>
              <w:rPr>
                <w:rFonts w:ascii="Times New Roman" w:hAnsi="Times New Roman" w:eastAsia="Times New Roman"/>
                <w:sz w:val="22"/>
              </w:rPr>
              <w:t>0,20 – 0,49</w:t>
            </w:r>
          </w:p>
        </w:tc>
        <w:tc>
          <w:tcPr>
            <w:tcW w:type="dxa" w:w="4844"/>
          </w:tcPr>
          <w:p>
            <w:r/>
            <w:r>
              <w:rPr>
                <w:rFonts w:ascii="Times New Roman" w:hAnsi="Times New Roman" w:eastAsia="Times New Roman"/>
                <w:sz w:val="22"/>
              </w:rPr>
              <w:t>Nhỏ</w:t>
            </w:r>
          </w:p>
        </w:tc>
      </w:tr>
      <w:tr>
        <w:tc>
          <w:tcPr>
            <w:tcW w:type="dxa" w:w="4844"/>
          </w:tcPr>
          <w:p>
            <w:r/>
            <w:r>
              <w:rPr>
                <w:rFonts w:ascii="Times New Roman" w:hAnsi="Times New Roman" w:eastAsia="Times New Roman"/>
                <w:sz w:val="22"/>
              </w:rPr>
              <w:t>0,50 – 0,79</w:t>
            </w:r>
          </w:p>
        </w:tc>
        <w:tc>
          <w:tcPr>
            <w:tcW w:type="dxa" w:w="4844"/>
          </w:tcPr>
          <w:p>
            <w:r/>
            <w:r>
              <w:rPr>
                <w:rFonts w:ascii="Times New Roman" w:hAnsi="Times New Roman" w:eastAsia="Times New Roman"/>
                <w:sz w:val="22"/>
              </w:rPr>
              <w:t>Trung bình</w:t>
            </w:r>
          </w:p>
        </w:tc>
      </w:tr>
      <w:tr>
        <w:tc>
          <w:tcPr>
            <w:tcW w:type="dxa" w:w="4844"/>
          </w:tcPr>
          <w:p>
            <w:r/>
            <w:r>
              <w:rPr>
                <w:rFonts w:ascii="Times New Roman" w:hAnsi="Times New Roman" w:eastAsia="Times New Roman"/>
                <w:sz w:val="22"/>
              </w:rPr>
              <w:t>≥ 0,80</w:t>
            </w:r>
          </w:p>
        </w:tc>
        <w:tc>
          <w:tcPr>
            <w:tcW w:type="dxa" w:w="4844"/>
          </w:tcPr>
          <w:p>
            <w:r/>
            <w:r>
              <w:rPr>
                <w:rFonts w:ascii="Times New Roman" w:hAnsi="Times New Roman" w:eastAsia="Times New Roman"/>
                <w:sz w:val="22"/>
              </w:rPr>
              <w:t>Lớn</w:t>
            </w:r>
          </w:p>
        </w:tc>
      </w:tr>
    </w:tbl>
    <w:p>
      <w:pPr>
        <w:spacing w:before="60" w:after="60" w:line="276" w:lineRule="auto"/>
        <w:ind w:firstLine="283"/>
      </w:pPr>
      <w:r>
        <w:rPr>
          <w:rFonts w:ascii="Times New Roman" w:hAnsi="Times New Roman" w:eastAsia="Times New Roman"/>
          <w:b/>
          <w:sz w:val="24"/>
        </w:rPr>
        <w:t>Ví dụ pattern ba tầng giới trong bài:</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F (giới)</w:t>
            </w:r>
          </w:p>
        </w:tc>
        <w:tc>
          <w:tcPr>
            <w:tcW w:type="dxa" w:w="1938"/>
          </w:tcPr>
          <w:p>
            <w:r/>
            <w:r>
              <w:rPr>
                <w:rFonts w:ascii="Times New Roman" w:hAnsi="Times New Roman" w:eastAsia="Times New Roman"/>
                <w:b/>
                <w:sz w:val="22"/>
              </w:rPr>
              <w:t>p</w:t>
            </w:r>
          </w:p>
        </w:tc>
        <w:tc>
          <w:tcPr>
            <w:tcW w:type="dxa" w:w="1938"/>
          </w:tcPr>
          <w:p>
            <w:r/>
            <w:r>
              <w:rPr>
                <w:rFonts w:ascii="Times New Roman" w:hAnsi="Times New Roman" w:eastAsia="Times New Roman"/>
                <w:b/>
                <w:sz w:val="22"/>
              </w:rPr>
              <w:t>Cohen d</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 (RLLATQ)</w:t>
            </w:r>
          </w:p>
        </w:tc>
        <w:tc>
          <w:tcPr>
            <w:tcW w:type="dxa" w:w="1938"/>
          </w:tcPr>
          <w:p>
            <w:r/>
            <w:r>
              <w:rPr>
                <w:rFonts w:ascii="Times New Roman" w:hAnsi="Times New Roman" w:eastAsia="Times New Roman"/>
                <w:sz w:val="22"/>
              </w:rPr>
              <w:t>44,484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0,365</w:t>
            </w:r>
          </w:p>
        </w:tc>
        <w:tc>
          <w:tcPr>
            <w:tcW w:type="dxa" w:w="1938"/>
          </w:tcPr>
          <w:p>
            <w:r/>
            <w:r>
              <w:rPr>
                <w:rFonts w:ascii="Times New Roman" w:hAnsi="Times New Roman" w:eastAsia="Times New Roman"/>
                <w:sz w:val="22"/>
              </w:rPr>
              <w:t>NHỎ — nữ &gt; nam đáng kể</w:t>
            </w:r>
          </w:p>
        </w:tc>
      </w:tr>
      <w:tr>
        <w:tc>
          <w:tcPr>
            <w:tcW w:type="dxa" w:w="1938"/>
          </w:tcPr>
          <w:p>
            <w:r/>
            <w:r>
              <w:rPr>
                <w:rFonts w:ascii="Times New Roman" w:hAnsi="Times New Roman" w:eastAsia="Times New Roman"/>
                <w:sz w:val="22"/>
              </w:rPr>
              <w:t>Lo âu xã hội (RLLAXH)</w:t>
            </w:r>
          </w:p>
        </w:tc>
        <w:tc>
          <w:tcPr>
            <w:tcW w:type="dxa" w:w="1938"/>
          </w:tcPr>
          <w:p>
            <w:r/>
            <w:r>
              <w:rPr>
                <w:rFonts w:ascii="Times New Roman" w:hAnsi="Times New Roman" w:eastAsia="Times New Roman"/>
                <w:sz w:val="22"/>
              </w:rPr>
              <w:t>45,984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0,370</w:t>
            </w:r>
          </w:p>
        </w:tc>
        <w:tc>
          <w:tcPr>
            <w:tcW w:type="dxa" w:w="1938"/>
          </w:tcPr>
          <w:p>
            <w:r/>
            <w:r>
              <w:rPr>
                <w:rFonts w:ascii="Times New Roman" w:hAnsi="Times New Roman" w:eastAsia="Times New Roman"/>
                <w:sz w:val="22"/>
              </w:rPr>
              <w:t>NHỎ — nữ &gt; nam đáng kể (gần bằng RLLATQ)</w:t>
            </w:r>
          </w:p>
        </w:tc>
      </w:tr>
      <w:tr>
        <w:tc>
          <w:tcPr>
            <w:tcW w:type="dxa" w:w="1938"/>
          </w:tcPr>
          <w:p>
            <w:r/>
            <w:r>
              <w:rPr>
                <w:rFonts w:ascii="Times New Roman" w:hAnsi="Times New Roman" w:eastAsia="Times New Roman"/>
                <w:sz w:val="22"/>
              </w:rPr>
              <w:t>Lo âu chia ly (RLLAC)</w:t>
            </w:r>
          </w:p>
        </w:tc>
        <w:tc>
          <w:tcPr>
            <w:tcW w:type="dxa" w:w="1938"/>
          </w:tcPr>
          <w:p>
            <w:r/>
            <w:r>
              <w:rPr>
                <w:rFonts w:ascii="Times New Roman" w:hAnsi="Times New Roman" w:eastAsia="Times New Roman"/>
                <w:sz w:val="22"/>
              </w:rPr>
              <w:t>0,246</w:t>
            </w:r>
          </w:p>
        </w:tc>
        <w:tc>
          <w:tcPr>
            <w:tcW w:type="dxa" w:w="1938"/>
          </w:tcPr>
          <w:p>
            <w:r/>
            <w:r>
              <w:rPr>
                <w:rFonts w:ascii="Times New Roman" w:hAnsi="Times New Roman" w:eastAsia="Times New Roman"/>
                <w:sz w:val="22"/>
              </w:rPr>
              <w:t>0,620</w:t>
            </w:r>
          </w:p>
        </w:tc>
        <w:tc>
          <w:tcPr>
            <w:tcW w:type="dxa" w:w="1938"/>
          </w:tcPr>
          <w:p>
            <w:r/>
            <w:r>
              <w:rPr>
                <w:rFonts w:ascii="Times New Roman" w:hAnsi="Times New Roman" w:eastAsia="Times New Roman"/>
                <w:sz w:val="22"/>
              </w:rPr>
              <w:t>≈ 0,03</w:t>
            </w:r>
          </w:p>
        </w:tc>
        <w:tc>
          <w:tcPr>
            <w:tcW w:type="dxa" w:w="1938"/>
          </w:tcPr>
          <w:p>
            <w:r/>
            <w:r>
              <w:rPr>
                <w:rFonts w:ascii="Times New Roman" w:hAnsi="Times New Roman" w:eastAsia="Times New Roman"/>
                <w:sz w:val="22"/>
              </w:rPr>
              <w:t>KHÔNG ĐÁNG KỂ — không có chênh lệch giới</w:t>
            </w:r>
          </w:p>
        </w:tc>
      </w:tr>
    </w:tbl>
    <w:p>
      <w:pPr>
        <w:spacing w:before="60" w:after="60" w:line="276" w:lineRule="auto"/>
        <w:ind w:firstLine="283"/>
        <w:jc w:val="both"/>
      </w:pPr>
      <w:r>
        <w:rPr>
          <w:rFonts w:ascii="Times New Roman" w:hAnsi="Times New Roman" w:eastAsia="Times New Roman"/>
          <w:sz w:val="24"/>
        </w:rPr>
        <w:t>Phù hợp pattern toàn cầu (Salk và cộng sự, 2017): giới khuếch đại nguy cơ đồng đều cho các phân nhóm lo âu nhận thức – đánh giá (tổng quát, xã hội) nhưng không khuếch đại cho phân nhóm dựa trên gắn bó (chia ly).</w:t>
      </w:r>
    </w:p>
    <w:p>
      <w:pPr>
        <w:spacing w:before="160" w:after="80" w:line="276" w:lineRule="auto"/>
      </w:pPr>
      <w:r>
        <w:rPr>
          <w:rFonts w:ascii="Times New Roman" w:hAnsi="Times New Roman" w:eastAsia="Times New Roman"/>
          <w:b/>
          <w:i/>
          <w:sz w:val="24"/>
        </w:rPr>
        <w:t>4. Chỉ số phù hợp mô hình SEM (Fit Indices)</w:t>
      </w:r>
    </w:p>
    <w:p>
      <w:pPr>
        <w:spacing w:before="60" w:after="60" w:line="276" w:lineRule="auto"/>
        <w:ind w:firstLine="283"/>
        <w:jc w:val="both"/>
      </w:pPr>
      <w:r>
        <w:rPr>
          <w:rFonts w:ascii="Times New Roman" w:hAnsi="Times New Roman" w:eastAsia="Times New Roman"/>
          <w:sz w:val="24"/>
        </w:rPr>
        <w:t>Ý nghĩa: Các chỉ số đánh giá mức độ mà mô hình lý thuyết (giả định bởi nhóm tác giả) phù hợp với cấu trúc covariance trong dữ liệu thực. Mô hình có fit tốt là điều kiện để các hệ số β được diễn giải đáng tin cậy.</w:t>
      </w:r>
    </w:p>
    <w:p>
      <w:pPr>
        <w:spacing w:before="60" w:after="60" w:line="276" w:lineRule="auto"/>
        <w:ind w:firstLine="283"/>
      </w:pPr>
      <w:r>
        <w:rPr>
          <w:rFonts w:ascii="Times New Roman" w:hAnsi="Times New Roman" w:eastAsia="Times New Roman"/>
          <w:b/>
          <w:sz w:val="24"/>
        </w:rPr>
        <w:t>Bốn chỉ số chính theo Hu và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Ngưỡng tốt</w:t>
            </w:r>
          </w:p>
        </w:tc>
        <w:tc>
          <w:tcPr>
            <w:tcW w:type="dxa" w:w="2422"/>
          </w:tcPr>
          <w:p>
            <w:r/>
            <w:r>
              <w:rPr>
                <w:rFonts w:ascii="Times New Roman" w:hAnsi="Times New Roman" w:eastAsia="Times New Roman"/>
                <w:b/>
                <w:sz w:val="22"/>
              </w:rPr>
              <w:t>Ngưỡng chấp nhận</w:t>
            </w:r>
          </w:p>
        </w:tc>
        <w:tc>
          <w:tcPr>
            <w:tcW w:type="dxa" w:w="2422"/>
          </w:tcPr>
          <w:p>
            <w:r/>
            <w:r>
              <w:rPr>
                <w:rFonts w:ascii="Times New Roman" w:hAnsi="Times New Roman" w:eastAsia="Times New Roman"/>
                <w:b/>
                <w:sz w:val="22"/>
              </w:rPr>
              <w:t>Ý nghĩa khi vượt ngưỡng kém</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mô hình rất kém</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cần đánh giá lại</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Mô hình</w:t>
            </w:r>
          </w:p>
        </w:tc>
        <w:tc>
          <w:tcPr>
            <w:tcW w:type="dxa" w:w="2422"/>
          </w:tcPr>
          <w:p>
            <w:r/>
            <w:r>
              <w:rPr>
                <w:rFonts w:ascii="Times New Roman" w:hAnsi="Times New Roman" w:eastAsia="Times New Roman"/>
                <w:b/>
                <w:sz w:val="22"/>
              </w:rPr>
              <w:t>RMSEA</w:t>
            </w:r>
          </w:p>
        </w:tc>
        <w:tc>
          <w:tcPr>
            <w:tcW w:type="dxa" w:w="2422"/>
          </w:tcPr>
          <w:p>
            <w:r/>
            <w:r>
              <w:rPr>
                <w:rFonts w:ascii="Times New Roman" w:hAnsi="Times New Roman" w:eastAsia="Times New Roman"/>
                <w:b/>
                <w:sz w:val="22"/>
              </w:rPr>
              <w:t>CFI</w:t>
            </w:r>
          </w:p>
        </w:tc>
        <w:tc>
          <w:tcPr>
            <w:tcW w:type="dxa" w:w="2422"/>
          </w:tcPr>
          <w:p>
            <w:r/>
            <w:r>
              <w:rPr>
                <w:rFonts w:ascii="Times New Roman" w:hAnsi="Times New Roman" w:eastAsia="Times New Roman"/>
                <w:b/>
                <w:sz w:val="22"/>
              </w:rPr>
              <w:t>Kết luận</w:t>
            </w:r>
          </w:p>
        </w:tc>
      </w:tr>
      <w:tr>
        <w:tc>
          <w:tcPr>
            <w:tcW w:type="dxa" w:w="2422"/>
          </w:tcPr>
          <w:p>
            <w:r/>
            <w:r>
              <w:rPr>
                <w:rFonts w:ascii="Times New Roman" w:hAnsi="Times New Roman" w:eastAsia="Times New Roman"/>
                <w:sz w:val="22"/>
              </w:rPr>
              <w:t>BNHĐ → RLLA (2 nhân tố)</w:t>
            </w:r>
          </w:p>
        </w:tc>
        <w:tc>
          <w:tcPr>
            <w:tcW w:type="dxa" w:w="2422"/>
          </w:tcPr>
          <w:p>
            <w:r/>
            <w:r>
              <w:rPr>
                <w:rFonts w:ascii="Times New Roman" w:hAnsi="Times New Roman" w:eastAsia="Times New Roman"/>
                <w:sz w:val="22"/>
              </w:rPr>
              <w:t>0,030</w:t>
            </w:r>
          </w:p>
        </w:tc>
        <w:tc>
          <w:tcPr>
            <w:tcW w:type="dxa" w:w="2422"/>
          </w:tcPr>
          <w:p>
            <w:r/>
            <w:r>
              <w:rPr>
                <w:rFonts w:ascii="Times New Roman" w:hAnsi="Times New Roman" w:eastAsia="Times New Roman"/>
                <w:sz w:val="22"/>
              </w:rPr>
              <w:t>0,999</w:t>
            </w:r>
          </w:p>
        </w:tc>
        <w:tc>
          <w:tcPr>
            <w:tcW w:type="dxa" w:w="2422"/>
          </w:tcPr>
          <w:p>
            <w:r/>
            <w:r>
              <w:rPr>
                <w:rFonts w:ascii="Times New Roman" w:hAnsi="Times New Roman" w:eastAsia="Times New Roman"/>
                <w:sz w:val="22"/>
              </w:rPr>
              <w:t>XUẤT SẮC — được ưu tiên báo cáo</w:t>
            </w:r>
          </w:p>
        </w:tc>
      </w:tr>
      <w:tr>
        <w:tc>
          <w:tcPr>
            <w:tcW w:type="dxa" w:w="2422"/>
          </w:tcPr>
          <w:p>
            <w:r/>
            <w:r>
              <w:rPr>
                <w:rFonts w:ascii="Times New Roman" w:hAnsi="Times New Roman" w:eastAsia="Times New Roman"/>
                <w:sz w:val="22"/>
              </w:rPr>
              <w:t>BNHĐ → RLLA (3 nhân tố)</w:t>
            </w:r>
          </w:p>
        </w:tc>
        <w:tc>
          <w:tcPr>
            <w:tcW w:type="dxa" w:w="2422"/>
          </w:tcPr>
          <w:p>
            <w:r/>
            <w:r>
              <w:rPr>
                <w:rFonts w:ascii="Times New Roman" w:hAnsi="Times New Roman" w:eastAsia="Times New Roman"/>
                <w:sz w:val="22"/>
              </w:rPr>
              <w:t>0,129</w:t>
            </w:r>
          </w:p>
        </w:tc>
        <w:tc>
          <w:tcPr>
            <w:tcW w:type="dxa" w:w="2422"/>
          </w:tcPr>
          <w:p>
            <w:r/>
            <w:r>
              <w:rPr>
                <w:rFonts w:ascii="Times New Roman" w:hAnsi="Times New Roman" w:eastAsia="Times New Roman"/>
                <w:sz w:val="22"/>
              </w:rPr>
              <w:t>—</w:t>
            </w:r>
          </w:p>
        </w:tc>
        <w:tc>
          <w:tcPr>
            <w:tcW w:type="dxa" w:w="2422"/>
          </w:tcPr>
          <w:p>
            <w:r/>
            <w:r>
              <w:rPr>
                <w:rFonts w:ascii="Times New Roman" w:hAnsi="Times New Roman" w:eastAsia="Times New Roman"/>
                <w:sz w:val="22"/>
              </w:rPr>
              <w:t>KÉM — cần thận trọng</w:t>
            </w:r>
          </w:p>
        </w:tc>
      </w:tr>
      <w:tr>
        <w:tc>
          <w:tcPr>
            <w:tcW w:type="dxa" w:w="2422"/>
          </w:tcPr>
          <w:p>
            <w:r/>
            <w:r>
              <w:rPr>
                <w:rFonts w:ascii="Times New Roman" w:hAnsi="Times New Roman" w:eastAsia="Times New Roman"/>
                <w:sz w:val="22"/>
              </w:rPr>
              <w:t>BPĐP → RLLA</w:t>
            </w:r>
          </w:p>
        </w:tc>
        <w:tc>
          <w:tcPr>
            <w:tcW w:type="dxa" w:w="2422"/>
          </w:tcPr>
          <w:p>
            <w:r/>
            <w:r>
              <w:rPr>
                <w:rFonts w:ascii="Times New Roman" w:hAnsi="Times New Roman" w:eastAsia="Times New Roman"/>
                <w:sz w:val="22"/>
              </w:rPr>
              <w:t>0,080 – 0,204</w:t>
            </w:r>
          </w:p>
        </w:tc>
        <w:tc>
          <w:tcPr>
            <w:tcW w:type="dxa" w:w="2422"/>
          </w:tcPr>
          <w:p>
            <w:r/>
            <w:r>
              <w:rPr>
                <w:rFonts w:ascii="Times New Roman" w:hAnsi="Times New Roman" w:eastAsia="Times New Roman"/>
                <w:sz w:val="22"/>
              </w:rPr>
              <w:t>0,865 – 0,911</w:t>
            </w:r>
          </w:p>
        </w:tc>
        <w:tc>
          <w:tcPr>
            <w:tcW w:type="dxa" w:w="2422"/>
          </w:tcPr>
          <w:p>
            <w:r/>
            <w:r>
              <w:rPr>
                <w:rFonts w:ascii="Times New Roman" w:hAnsi="Times New Roman" w:eastAsia="Times New Roman"/>
                <w:sz w:val="22"/>
              </w:rPr>
              <w:t>KÉM trên mọi tổ hợp — diễn giải EXPLORATORY</w:t>
            </w:r>
          </w:p>
        </w:tc>
      </w:tr>
    </w:tbl>
    <w:p>
      <w:pPr>
        <w:spacing w:before="60" w:after="60" w:line="276" w:lineRule="auto"/>
        <w:ind w:firstLine="283"/>
        <w:jc w:val="both"/>
      </w:pPr>
      <w:r>
        <w:rPr>
          <w:rFonts w:ascii="Times New Roman" w:hAnsi="Times New Roman" w:eastAsia="Times New Roman"/>
          <w:sz w:val="24"/>
        </w:rPr>
        <w:t>Quan trọng: khi mô hình có fit kém (như BPĐP trong bài), hệ số β rất lớn (0,749) không thể được hiểu là hiệu ứng nhân quả một chiều. Cách diễn giải đúng là quan hệ hai chiều (bidirectional escalation): đối phó kém thích nghi vừa khuếch đại vừa được khuếch đại bởi lo âu (Compas và cộng sự, 2017).</w:t>
      </w:r>
    </w:p>
    <w:p>
      <w:pPr>
        <w:spacing w:before="160" w:after="80" w:line="276" w:lineRule="auto"/>
      </w:pPr>
      <w:r>
        <w:rPr>
          <w:rFonts w:ascii="Times New Roman" w:hAnsi="Times New Roman" w:eastAsia="Times New Roman"/>
          <w:b/>
          <w:i/>
          <w:sz w:val="24"/>
        </w:rPr>
        <w:t>5. Tỷ số |β| (so sánh cường độ giữa các yếu tố)</w:t>
      </w:r>
    </w:p>
    <w:p>
      <w:pPr>
        <w:spacing w:before="60" w:after="60" w:line="276" w:lineRule="auto"/>
        <w:ind w:firstLine="283"/>
        <w:jc w:val="both"/>
      </w:pPr>
      <w:r>
        <w:rPr>
          <w:rFonts w:ascii="Times New Roman" w:hAnsi="Times New Roman" w:eastAsia="Times New Roman"/>
          <w:sz w:val="24"/>
        </w:rPr>
        <w:t>Ý nghĩa: Tỷ số |β yếu tố A| / |β yếu tố B| cho biết cường độ tương đối giữa hai yếu tố cùng dự báo một kết cục. Tỷ số gần 1 → cường độ ngang nhau; tỷ số &gt; 1 → yếu tố A mạnh hơn; tỷ số &lt; 1 → yếu tố B mạnh hơn.</w:t>
      </w:r>
    </w:p>
    <w:p>
      <w:pPr>
        <w:spacing w:before="60" w:after="60" w:line="276" w:lineRule="auto"/>
        <w:ind w:firstLine="283"/>
      </w:pPr>
      <w:r>
        <w:rPr>
          <w:rFonts w:ascii="Times New Roman" w:hAnsi="Times New Roman" w:eastAsia="Times New Roman"/>
          <w:b/>
          <w:sz w:val="24"/>
        </w:rPr>
        <w:t>Ví dụ trong bài (Lòng tự trọng so với Áp lực học tập):</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|β TTr|</w:t>
            </w:r>
          </w:p>
        </w:tc>
        <w:tc>
          <w:tcPr>
            <w:tcW w:type="dxa" w:w="1938"/>
          </w:tcPr>
          <w:p>
            <w:r/>
            <w:r>
              <w:rPr>
                <w:rFonts w:ascii="Times New Roman" w:hAnsi="Times New Roman" w:eastAsia="Times New Roman"/>
                <w:b/>
                <w:sz w:val="22"/>
              </w:rPr>
              <w:t>|β ALHT|</w:t>
            </w:r>
          </w:p>
        </w:tc>
        <w:tc>
          <w:tcPr>
            <w:tcW w:type="dxa" w:w="1938"/>
          </w:tcPr>
          <w:p>
            <w:r/>
            <w:r>
              <w:rPr>
                <w:rFonts w:ascii="Times New Roman" w:hAnsi="Times New Roman" w:eastAsia="Times New Roman"/>
                <w:b/>
                <w:sz w:val="22"/>
              </w:rPr>
              <w:t>Tỷ số</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w:t>
            </w:r>
          </w:p>
        </w:tc>
        <w:tc>
          <w:tcPr>
            <w:tcW w:type="dxa" w:w="1938"/>
          </w:tcPr>
          <w:p>
            <w:r/>
            <w:r>
              <w:rPr>
                <w:rFonts w:ascii="Times New Roman" w:hAnsi="Times New Roman" w:eastAsia="Times New Roman"/>
                <w:sz w:val="22"/>
              </w:rPr>
              <w:t>0,455</w:t>
            </w:r>
          </w:p>
        </w:tc>
        <w:tc>
          <w:tcPr>
            <w:tcW w:type="dxa" w:w="1938"/>
          </w:tcPr>
          <w:p>
            <w:r/>
            <w:r>
              <w:rPr>
                <w:rFonts w:ascii="Times New Roman" w:hAnsi="Times New Roman" w:eastAsia="Times New Roman"/>
                <w:sz w:val="22"/>
              </w:rPr>
              <w:t>0,510</w:t>
            </w:r>
          </w:p>
        </w:tc>
        <w:tc>
          <w:tcPr>
            <w:tcW w:type="dxa" w:w="1938"/>
          </w:tcPr>
          <w:p>
            <w:r/>
            <w:r>
              <w:rPr>
                <w:rFonts w:ascii="Times New Roman" w:hAnsi="Times New Roman" w:eastAsia="Times New Roman"/>
                <w:sz w:val="22"/>
              </w:rPr>
              <w:t>0,892</w:t>
            </w:r>
          </w:p>
        </w:tc>
        <w:tc>
          <w:tcPr>
            <w:tcW w:type="dxa" w:w="1938"/>
          </w:tcPr>
          <w:p>
            <w:r/>
            <w:r>
              <w:rPr>
                <w:rFonts w:ascii="Times New Roman" w:hAnsi="Times New Roman" w:eastAsia="Times New Roman"/>
                <w:sz w:val="22"/>
              </w:rPr>
              <w:t>GẦN NGANG — tự trọng yếu hơn áp lực học tập chỉ ~10%</w:t>
            </w:r>
          </w:p>
        </w:tc>
      </w:tr>
      <w:tr>
        <w:tc>
          <w:tcPr>
            <w:tcW w:type="dxa" w:w="1938"/>
          </w:tcPr>
          <w:p>
            <w:r/>
            <w:r>
              <w:rPr>
                <w:rFonts w:ascii="Times New Roman" w:hAnsi="Times New Roman" w:eastAsia="Times New Roman"/>
                <w:sz w:val="22"/>
              </w:rPr>
              <w:t>Lo âu xã hội</w:t>
            </w:r>
          </w:p>
        </w:tc>
        <w:tc>
          <w:tcPr>
            <w:tcW w:type="dxa" w:w="1938"/>
          </w:tcPr>
          <w:p>
            <w:r/>
            <w:r>
              <w:rPr>
                <w:rFonts w:ascii="Times New Roman" w:hAnsi="Times New Roman" w:eastAsia="Times New Roman"/>
                <w:sz w:val="22"/>
              </w:rPr>
              <w:t>0,415</w:t>
            </w:r>
          </w:p>
        </w:tc>
        <w:tc>
          <w:tcPr>
            <w:tcW w:type="dxa" w:w="1938"/>
          </w:tcPr>
          <w:p>
            <w:r/>
            <w:r>
              <w:rPr>
                <w:rFonts w:ascii="Times New Roman" w:hAnsi="Times New Roman" w:eastAsia="Times New Roman"/>
                <w:sz w:val="22"/>
              </w:rPr>
              <w:t>0,490</w:t>
            </w:r>
          </w:p>
        </w:tc>
        <w:tc>
          <w:tcPr>
            <w:tcW w:type="dxa" w:w="1938"/>
          </w:tcPr>
          <w:p>
            <w:r/>
            <w:r>
              <w:rPr>
                <w:rFonts w:ascii="Times New Roman" w:hAnsi="Times New Roman" w:eastAsia="Times New Roman"/>
                <w:sz w:val="22"/>
              </w:rPr>
              <w:t>0,847</w:t>
            </w:r>
          </w:p>
        </w:tc>
        <w:tc>
          <w:tcPr>
            <w:tcW w:type="dxa" w:w="1938"/>
          </w:tcPr>
          <w:p>
            <w:r/>
            <w:r>
              <w:rPr>
                <w:rFonts w:ascii="Times New Roman" w:hAnsi="Times New Roman" w:eastAsia="Times New Roman"/>
                <w:sz w:val="22"/>
              </w:rPr>
              <w:t>GẦN NGANG — tự trọng yếu hơn áp lực học tập ~15%</w:t>
            </w:r>
          </w:p>
        </w:tc>
      </w:tr>
      <w:tr>
        <w:tc>
          <w:tcPr>
            <w:tcW w:type="dxa" w:w="1938"/>
          </w:tcPr>
          <w:p>
            <w:r/>
            <w:r>
              <w:rPr>
                <w:rFonts w:ascii="Times New Roman" w:hAnsi="Times New Roman" w:eastAsia="Times New Roman"/>
                <w:sz w:val="22"/>
              </w:rPr>
              <w:t>Lo âu chia ly</w:t>
            </w:r>
          </w:p>
        </w:tc>
        <w:tc>
          <w:tcPr>
            <w:tcW w:type="dxa" w:w="1938"/>
          </w:tcPr>
          <w:p>
            <w:r/>
            <w:r>
              <w:rPr>
                <w:rFonts w:ascii="Times New Roman" w:hAnsi="Times New Roman" w:eastAsia="Times New Roman"/>
                <w:sz w:val="22"/>
              </w:rPr>
              <w:t>0,087</w:t>
            </w:r>
          </w:p>
        </w:tc>
        <w:tc>
          <w:tcPr>
            <w:tcW w:type="dxa" w:w="1938"/>
          </w:tcPr>
          <w:p>
            <w:r/>
            <w:r>
              <w:rPr>
                <w:rFonts w:ascii="Times New Roman" w:hAnsi="Times New Roman" w:eastAsia="Times New Roman"/>
                <w:sz w:val="22"/>
              </w:rPr>
              <w:t>0,253</w:t>
            </w:r>
          </w:p>
        </w:tc>
        <w:tc>
          <w:tcPr>
            <w:tcW w:type="dxa" w:w="1938"/>
          </w:tcPr>
          <w:p>
            <w:r/>
            <w:r>
              <w:rPr>
                <w:rFonts w:ascii="Times New Roman" w:hAnsi="Times New Roman" w:eastAsia="Times New Roman"/>
                <w:sz w:val="22"/>
              </w:rPr>
              <w:t>0,344</w:t>
            </w:r>
          </w:p>
        </w:tc>
        <w:tc>
          <w:tcPr>
            <w:tcW w:type="dxa" w:w="1938"/>
          </w:tcPr>
          <w:p>
            <w:r/>
            <w:r>
              <w:rPr>
                <w:rFonts w:ascii="Times New Roman" w:hAnsi="Times New Roman" w:eastAsia="Times New Roman"/>
                <w:sz w:val="22"/>
              </w:rPr>
              <w:t>ÍT NGANG — tự trọng yếu hơn áp lực học tập rất nhiều</w:t>
            </w:r>
          </w:p>
        </w:tc>
      </w:tr>
    </w:tbl>
    <w:p>
      <w:pPr>
        <w:spacing w:before="60" w:after="60" w:line="276" w:lineRule="auto"/>
        <w:ind w:firstLine="283"/>
        <w:jc w:val="both"/>
      </w:pPr>
      <w:r>
        <w:rPr>
          <w:rFonts w:ascii="Times New Roman" w:hAnsi="Times New Roman" w:eastAsia="Times New Roman"/>
          <w:sz w:val="24"/>
        </w:rPr>
        <w:t>Phát hiện đặc thù: ở hai phân nhóm lo âu nhận thức – đánh giá (tổng quát + xã hội), lòng tự trọng có cường độ NGANG với áp lực học tập, gợi ý lòng tự trọng có thể là một mục tiêu can thiệp song song hiệu quả như giảm áp lực học tập.</w:t>
      </w:r>
    </w:p>
    <w:p>
      <w:pPr>
        <w:spacing w:before="160" w:after="80" w:line="276" w:lineRule="auto"/>
      </w:pPr>
      <w:r>
        <w:rPr>
          <w:rFonts w:ascii="Times New Roman" w:hAnsi="Times New Roman" w:eastAsia="Times New Roman"/>
          <w:b/>
          <w:i/>
          <w:sz w:val="24"/>
        </w:rPr>
        <w:t>6. Khoảng tin cậy 95% (KTC 95% / 95% CI)</w:t>
      </w:r>
    </w:p>
    <w:p>
      <w:pPr>
        <w:spacing w:before="60" w:after="60" w:line="276" w:lineRule="auto"/>
        <w:ind w:firstLine="283"/>
        <w:jc w:val="both"/>
      </w:pPr>
      <w:r>
        <w:rPr>
          <w:rFonts w:ascii="Times New Roman" w:hAnsi="Times New Roman" w:eastAsia="Times New Roman"/>
          <w:sz w:val="24"/>
        </w:rPr>
        <w:t>Ý nghĩa: KTC 95% là khoảng giá trị mà ta có 95% tin cậy rằng giá trị tham số thật của tổng thể nằm trong đó. KTC hẹp → ước lượng chính xác; KTC rộng → ước lượng kém chính xác.</w:t>
      </w:r>
    </w:p>
    <w:p>
      <w:pPr>
        <w:spacing w:before="60" w:after="60" w:line="276" w:lineRule="auto"/>
        <w:ind w:firstLine="283"/>
        <w:jc w:val="both"/>
      </w:pPr>
      <w:r>
        <w:rPr>
          <w:rFonts w:ascii="Times New Roman" w:hAnsi="Times New Roman" w:eastAsia="Times New Roman"/>
          <w:sz w:val="24"/>
        </w:rPr>
        <w:t>Quy tắc kiểm định ý nghĩa: nếu KTC 95% KHÔNG chứa số 0, hệ số có ý nghĩa thống kê ở mức α = 0,05.</w:t>
      </w:r>
    </w:p>
    <w:p>
      <w:pPr>
        <w:spacing w:before="60" w:after="60" w:line="276" w:lineRule="auto"/>
        <w:ind w:firstLine="283"/>
        <w:jc w:val="both"/>
      </w:pPr>
      <w:r>
        <w:rPr>
          <w:rFonts w:ascii="Times New Roman" w:hAnsi="Times New Roman" w:eastAsia="Times New Roman"/>
          <w:sz w:val="24"/>
        </w:rPr>
        <w:t>Ví dụ trong bài: SMD của Cai và cộng sự (2025) = 0,17 (KTC 95% 0,06 – 0,29). Khoảng này không chứa 0 → hiệu ứng có ý nghĩa thống kê, mặc dù độ lớn nhỏ.</w:t>
      </w:r>
    </w:p>
    <w:p>
      <w:pPr>
        <w:spacing w:before="160" w:after="80" w:line="276" w:lineRule="auto"/>
      </w:pPr>
      <w:r>
        <w:rPr>
          <w:rFonts w:ascii="Times New Roman" w:hAnsi="Times New Roman" w:eastAsia="Times New Roman"/>
          <w:b/>
          <w:i/>
          <w:sz w:val="24"/>
        </w:rPr>
        <w:t>7. Giá trị p (mức ý nghĩa thống kê)</w:t>
      </w:r>
    </w:p>
    <w:p>
      <w:pPr>
        <w:spacing w:before="60" w:after="60" w:line="276" w:lineRule="auto"/>
        <w:ind w:firstLine="283"/>
        <w:jc w:val="both"/>
      </w:pPr>
      <w:r>
        <w:rPr>
          <w:rFonts w:ascii="Times New Roman" w:hAnsi="Times New Roman" w:eastAsia="Times New Roman"/>
          <w:sz w:val="24"/>
        </w:rPr>
        <w:t>Ý nghĩa: p-value là xác suất quan sát được kết quả hiện tại (hoặc cực đoan hơn) với giả định rằng giả thuyết không (H0) đúng. p càng nhỏ → bằng chứng càng mạnh chống H0.</w:t>
      </w:r>
    </w:p>
    <w:p>
      <w:pPr>
        <w:spacing w:before="60" w:after="60" w:line="276" w:lineRule="auto"/>
        <w:ind w:firstLine="283"/>
        <w:jc w:val="both"/>
      </w:pPr>
      <w:r>
        <w:rPr>
          <w:rFonts w:ascii="Times New Roman" w:hAnsi="Times New Roman" w:eastAsia="Times New Roman"/>
          <w:sz w:val="24"/>
        </w:rPr>
        <w:t>Ngưỡng thông thường: p &lt; 0,001 (rất có ý nghĩa); p &lt; 0,01 (có ý nghĩa cao); p &lt; 0,05 (có ý nghĩa); p ≥ 0,05 (không có ý nghĩa thống kê).</w:t>
      </w:r>
    </w:p>
    <w:p>
      <w:pPr>
        <w:spacing w:before="60" w:after="60" w:line="276" w:lineRule="auto"/>
        <w:ind w:firstLine="283"/>
        <w:jc w:val="both"/>
      </w:pPr>
      <w:r>
        <w:rPr>
          <w:rFonts w:ascii="Times New Roman" w:hAnsi="Times New Roman" w:eastAsia="Times New Roman"/>
          <w:sz w:val="24"/>
        </w:rPr>
        <w:t>Ví dụ trong bài: β HTCM → RLLAC = 0,000 với p = 0,997 → KHÔNG có ý nghĩa thống kê → hỗ trợ cha mẹ KHÔNG có tác động trực tiếp lên lo âu chia ly trong mẫu này. Đây là phát hiện đặc thù văn hóa Á.</w:t>
      </w:r>
    </w:p>
    <w:p>
      <w:pPr>
        <w:spacing w:before="160" w:after="80" w:line="276" w:lineRule="auto"/>
      </w:pPr>
      <w:r>
        <w:rPr>
          <w:rFonts w:ascii="Times New Roman" w:hAnsi="Times New Roman" w:eastAsia="Times New Roman"/>
          <w:b/>
          <w:i/>
          <w:sz w:val="24"/>
        </w:rPr>
        <w:t>8. SMD, OR, r — các thước đo hiệu ứng phổ biến khác</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Tên đầy đủ</w:t>
            </w:r>
          </w:p>
        </w:tc>
        <w:tc>
          <w:tcPr>
            <w:tcW w:type="dxa" w:w="2422"/>
          </w:tcPr>
          <w:p>
            <w:r/>
            <w:r>
              <w:rPr>
                <w:rFonts w:ascii="Times New Roman" w:hAnsi="Times New Roman" w:eastAsia="Times New Roman"/>
                <w:b/>
                <w:sz w:val="22"/>
              </w:rPr>
              <w:t>Ý nghĩa</w:t>
            </w:r>
          </w:p>
        </w:tc>
        <w:tc>
          <w:tcPr>
            <w:tcW w:type="dxa" w:w="2422"/>
          </w:tcPr>
          <w:p>
            <w:r/>
            <w:r>
              <w:rPr>
                <w:rFonts w:ascii="Times New Roman" w:hAnsi="Times New Roman" w:eastAsia="Times New Roman"/>
                <w:b/>
                <w:sz w:val="22"/>
              </w:rPr>
              <w:t>Ngưỡng</w:t>
            </w:r>
          </w:p>
        </w:tc>
      </w:tr>
      <w:tr>
        <w:tc>
          <w:tcPr>
            <w:tcW w:type="dxa" w:w="2422"/>
          </w:tcPr>
          <w:p>
            <w:r/>
            <w:r>
              <w:rPr>
                <w:rFonts w:ascii="Times New Roman" w:hAnsi="Times New Roman" w:eastAsia="Times New Roman"/>
                <w:sz w:val="22"/>
              </w:rPr>
              <w:t>SMD</w:t>
            </w:r>
          </w:p>
        </w:tc>
        <w:tc>
          <w:tcPr>
            <w:tcW w:type="dxa" w:w="2422"/>
          </w:tcPr>
          <w:p>
            <w:r/>
            <w:r>
              <w:rPr>
                <w:rFonts w:ascii="Times New Roman" w:hAnsi="Times New Roman" w:eastAsia="Times New Roman"/>
                <w:sz w:val="22"/>
              </w:rPr>
              <w:t>Standardized Mean Difference</w:t>
            </w:r>
          </w:p>
        </w:tc>
        <w:tc>
          <w:tcPr>
            <w:tcW w:type="dxa" w:w="2422"/>
          </w:tcPr>
          <w:p>
            <w:r/>
            <w:r>
              <w:rPr>
                <w:rFonts w:ascii="Times New Roman" w:hAnsi="Times New Roman" w:eastAsia="Times New Roman"/>
                <w:sz w:val="22"/>
              </w:rPr>
              <w:t>Chênh lệch trung bình chuẩn hóa giữa hai nhóm (dùng trong phân tích tổng hợp)</w:t>
            </w:r>
          </w:p>
        </w:tc>
        <w:tc>
          <w:tcPr>
            <w:tcW w:type="dxa" w:w="2422"/>
          </w:tcPr>
          <w:p>
            <w:r/>
            <w:r>
              <w:rPr>
                <w:rFonts w:ascii="Times New Roman" w:hAnsi="Times New Roman" w:eastAsia="Times New Roman"/>
                <w:sz w:val="22"/>
              </w:rPr>
              <w:t>0,2 nhỏ; 0,5 trung bình; 0,8 lớn</w:t>
            </w:r>
          </w:p>
        </w:tc>
      </w:tr>
      <w:tr>
        <w:tc>
          <w:tcPr>
            <w:tcW w:type="dxa" w:w="2422"/>
          </w:tcPr>
          <w:p>
            <w:r/>
            <w:r>
              <w:rPr>
                <w:rFonts w:ascii="Times New Roman" w:hAnsi="Times New Roman" w:eastAsia="Times New Roman"/>
                <w:sz w:val="22"/>
              </w:rPr>
              <w:t>OR</w:t>
            </w:r>
          </w:p>
        </w:tc>
        <w:tc>
          <w:tcPr>
            <w:tcW w:type="dxa" w:w="2422"/>
          </w:tcPr>
          <w:p>
            <w:r/>
            <w:r>
              <w:rPr>
                <w:rFonts w:ascii="Times New Roman" w:hAnsi="Times New Roman" w:eastAsia="Times New Roman"/>
                <w:sz w:val="22"/>
              </w:rPr>
              <w:t>Odds Ratio (tỷ số chênh)</w:t>
            </w:r>
          </w:p>
        </w:tc>
        <w:tc>
          <w:tcPr>
            <w:tcW w:type="dxa" w:w="2422"/>
          </w:tcPr>
          <w:p>
            <w:r/>
            <w:r>
              <w:rPr>
                <w:rFonts w:ascii="Times New Roman" w:hAnsi="Times New Roman" w:eastAsia="Times New Roman"/>
                <w:sz w:val="22"/>
              </w:rPr>
              <w:t>Xác suất xảy ra sự kiện ở nhóm phơi nhiễm chia cho nhóm không phơi nhiễm</w:t>
            </w:r>
          </w:p>
        </w:tc>
        <w:tc>
          <w:tcPr>
            <w:tcW w:type="dxa" w:w="2422"/>
          </w:tcPr>
          <w:p>
            <w:r/>
            <w:r>
              <w:rPr>
                <w:rFonts w:ascii="Times New Roman" w:hAnsi="Times New Roman" w:eastAsia="Times New Roman"/>
                <w:sz w:val="22"/>
              </w:rPr>
              <w:t>1 = không khác biệt; &gt; 1 tăng nguy cơ; &lt; 1 giảm nguy cơ</w:t>
            </w:r>
          </w:p>
        </w:tc>
      </w:tr>
      <w:tr>
        <w:tc>
          <w:tcPr>
            <w:tcW w:type="dxa" w:w="2422"/>
          </w:tcPr>
          <w:p>
            <w:r/>
            <w:r>
              <w:rPr>
                <w:rFonts w:ascii="Times New Roman" w:hAnsi="Times New Roman" w:eastAsia="Times New Roman"/>
                <w:sz w:val="22"/>
              </w:rPr>
              <w:t>r</w:t>
            </w:r>
          </w:p>
        </w:tc>
        <w:tc>
          <w:tcPr>
            <w:tcW w:type="dxa" w:w="2422"/>
          </w:tcPr>
          <w:p>
            <w:r/>
            <w:r>
              <w:rPr>
                <w:rFonts w:ascii="Times New Roman" w:hAnsi="Times New Roman" w:eastAsia="Times New Roman"/>
                <w:sz w:val="22"/>
              </w:rPr>
              <w:t>Hệ số tương quan Pearson</w:t>
            </w:r>
          </w:p>
        </w:tc>
        <w:tc>
          <w:tcPr>
            <w:tcW w:type="dxa" w:w="2422"/>
          </w:tcPr>
          <w:p>
            <w:r/>
            <w:r>
              <w:rPr>
                <w:rFonts w:ascii="Times New Roman" w:hAnsi="Times New Roman" w:eastAsia="Times New Roman"/>
                <w:sz w:val="22"/>
              </w:rPr>
              <w:t>Mức độ tương quan tuyến tính giữa hai biến</w:t>
            </w:r>
          </w:p>
        </w:tc>
        <w:tc>
          <w:tcPr>
            <w:tcW w:type="dxa" w:w="2422"/>
          </w:tcPr>
          <w:p>
            <w:r/>
            <w:r>
              <w:rPr>
                <w:rFonts w:ascii="Times New Roman" w:hAnsi="Times New Roman" w:eastAsia="Times New Roman"/>
                <w:sz w:val="22"/>
              </w:rPr>
              <w:t>0,10 nhỏ; 0,30 trung bình; 0,50 lớn</w:t>
            </w:r>
          </w:p>
        </w:tc>
      </w:tr>
      <w:tr>
        <w:tc>
          <w:tcPr>
            <w:tcW w:type="dxa" w:w="2422"/>
          </w:tcPr>
          <w:p>
            <w:r/>
            <w:r>
              <w:rPr>
                <w:rFonts w:ascii="Times New Roman" w:hAnsi="Times New Roman" w:eastAsia="Times New Roman"/>
                <w:sz w:val="22"/>
              </w:rPr>
              <w:t>g</w:t>
            </w:r>
          </w:p>
        </w:tc>
        <w:tc>
          <w:tcPr>
            <w:tcW w:type="dxa" w:w="2422"/>
          </w:tcPr>
          <w:p>
            <w:r/>
            <w:r>
              <w:rPr>
                <w:rFonts w:ascii="Times New Roman" w:hAnsi="Times New Roman" w:eastAsia="Times New Roman"/>
                <w:sz w:val="22"/>
              </w:rPr>
              <w:t>Hedges g</w:t>
            </w:r>
          </w:p>
        </w:tc>
        <w:tc>
          <w:tcPr>
            <w:tcW w:type="dxa" w:w="2422"/>
          </w:tcPr>
          <w:p>
            <w:r/>
            <w:r>
              <w:rPr>
                <w:rFonts w:ascii="Times New Roman" w:hAnsi="Times New Roman" w:eastAsia="Times New Roman"/>
                <w:sz w:val="22"/>
              </w:rPr>
              <w:t>Tương tự Cohen d nhưng hiệu chỉnh cho cỡ mẫu nhỏ</w:t>
            </w:r>
          </w:p>
        </w:tc>
        <w:tc>
          <w:tcPr>
            <w:tcW w:type="dxa" w:w="2422"/>
          </w:tcPr>
          <w:p>
            <w:r/>
            <w:r>
              <w:rPr>
                <w:rFonts w:ascii="Times New Roman" w:hAnsi="Times New Roman" w:eastAsia="Times New Roman"/>
                <w:sz w:val="22"/>
              </w:rPr>
              <w:t>Diễn giải như Cohen d</w:t>
            </w:r>
          </w:p>
        </w:tc>
      </w:tr>
      <w:tr>
        <w:tc>
          <w:tcPr>
            <w:tcW w:type="dxa" w:w="2422"/>
          </w:tcPr>
          <w:p>
            <w:r/>
            <w:r>
              <w:rPr>
                <w:rFonts w:ascii="Times New Roman" w:hAnsi="Times New Roman" w:eastAsia="Times New Roman"/>
                <w:sz w:val="22"/>
              </w:rPr>
              <w:t>SUCRA</w:t>
            </w:r>
          </w:p>
        </w:tc>
        <w:tc>
          <w:tcPr>
            <w:tcW w:type="dxa" w:w="2422"/>
          </w:tcPr>
          <w:p>
            <w:r/>
            <w:r>
              <w:rPr>
                <w:rFonts w:ascii="Times New Roman" w:hAnsi="Times New Roman" w:eastAsia="Times New Roman"/>
                <w:sz w:val="22"/>
              </w:rPr>
              <w:t>Surface Under Cumulative Ranking</w:t>
            </w:r>
          </w:p>
        </w:tc>
        <w:tc>
          <w:tcPr>
            <w:tcW w:type="dxa" w:w="2422"/>
          </w:tcPr>
          <w:p>
            <w:r/>
            <w:r>
              <w:rPr>
                <w:rFonts w:ascii="Times New Roman" w:hAnsi="Times New Roman" w:eastAsia="Times New Roman"/>
                <w:sz w:val="22"/>
              </w:rPr>
              <w:t>Xếp hạng phương án điều trị trong phân tích mạng lưới (0–100%; cao hơn = tốt hơn)</w:t>
            </w:r>
          </w:p>
        </w:tc>
        <w:tc>
          <w:tcPr>
            <w:tcW w:type="dxa" w:w="2422"/>
          </w:tcPr>
          <w:p>
            <w:r/>
            <w:r>
              <w:rPr>
                <w:rFonts w:ascii="Times New Roman" w:hAnsi="Times New Roman" w:eastAsia="Times New Roman"/>
                <w:sz w:val="22"/>
              </w:rPr>
              <w:t>—</w:t>
            </w:r>
          </w:p>
        </w:tc>
      </w:tr>
    </w:tbl>
    <w:p>
      <w:pPr>
        <w:spacing w:before="160" w:after="80" w:line="276" w:lineRule="auto"/>
      </w:pPr>
      <w:r>
        <w:rPr>
          <w:rFonts w:ascii="Times New Roman" w:hAnsi="Times New Roman" w:eastAsia="Times New Roman"/>
          <w:b/>
          <w:i/>
          <w:sz w:val="24"/>
        </w:rPr>
        <w:t>9. Yêu cầu cụ thể cho nhóm phân tích SPSS/lavaan/Mplus</w:t>
      </w:r>
    </w:p>
    <w:p>
      <w:pPr>
        <w:spacing w:before="60" w:after="60" w:line="276" w:lineRule="auto"/>
        <w:ind w:firstLine="283"/>
        <w:jc w:val="both"/>
      </w:pPr>
      <w:r>
        <w:rPr>
          <w:rFonts w:ascii="Times New Roman" w:hAnsi="Times New Roman" w:eastAsia="Times New Roman"/>
          <w:b/>
          <w:sz w:val="24"/>
        </w:rPr>
        <w:t>Khi tái phân tích dữ liệu raw (n = 1.352), nhóm phân tích cần báo cáo:</w:t>
      </w:r>
    </w:p>
    <w:p>
      <w:pPr>
        <w:spacing w:before="60" w:after="60" w:line="276" w:lineRule="auto"/>
        <w:ind w:firstLine="170"/>
      </w:pPr>
      <w:r>
        <w:rPr>
          <w:rFonts w:ascii="Times New Roman" w:hAnsi="Times New Roman" w:eastAsia="Times New Roman"/>
          <w:sz w:val="24"/>
        </w:rPr>
        <w:t>• Cho mỗi mô hình SEM: χ² (df), CFI, TLI, RMSEA (kèm KTC 90%), SRMR.</w:t>
      </w:r>
    </w:p>
    <w:p>
      <w:pPr>
        <w:spacing w:before="60" w:after="60" w:line="276" w:lineRule="auto"/>
        <w:ind w:firstLine="170"/>
      </w:pPr>
      <w:r>
        <w:rPr>
          <w:rFonts w:ascii="Times New Roman" w:hAnsi="Times New Roman" w:eastAsia="Times New Roman"/>
          <w:sz w:val="24"/>
        </w:rPr>
        <w:t>• Cho mỗi đường dẫn: β chuẩn hóa, sai số chuẩn, KTC 95% bootstrap (5.000 lần), p-value.</w:t>
      </w:r>
    </w:p>
    <w:p>
      <w:pPr>
        <w:spacing w:before="60" w:after="60" w:line="276" w:lineRule="auto"/>
        <w:ind w:firstLine="170"/>
      </w:pPr>
      <w:r>
        <w:rPr>
          <w:rFonts w:ascii="Times New Roman" w:hAnsi="Times New Roman" w:eastAsia="Times New Roman"/>
          <w:sz w:val="24"/>
        </w:rPr>
        <w:t>• Cho mô hình mediation: a, b, c, c', và indirect = a × b kèm KTC 95% bootstrap.</w:t>
      </w:r>
    </w:p>
    <w:p>
      <w:pPr>
        <w:spacing w:before="60" w:after="60" w:line="276" w:lineRule="auto"/>
        <w:ind w:firstLine="170"/>
      </w:pPr>
      <w:r>
        <w:rPr>
          <w:rFonts w:ascii="Times New Roman" w:hAnsi="Times New Roman" w:eastAsia="Times New Roman"/>
          <w:sz w:val="24"/>
        </w:rPr>
        <w:t>• Cho multi-group invariance: configural, metric, scalar — Δχ², ΔCFI, ΔRMSEA.</w:t>
      </w:r>
    </w:p>
    <w:p>
      <w:pPr>
        <w:spacing w:before="60" w:after="60" w:line="276" w:lineRule="auto"/>
        <w:ind w:firstLine="170"/>
      </w:pPr>
      <w:r>
        <w:rPr>
          <w:rFonts w:ascii="Times New Roman" w:hAnsi="Times New Roman" w:eastAsia="Times New Roman"/>
          <w:sz w:val="24"/>
        </w:rPr>
        <w:t>• Cho phân tích giới: F, p, Cohen d cho mỗi phân nhóm lo âu.</w:t>
      </w:r>
    </w:p>
    <w:p>
      <w:pPr>
        <w:spacing w:before="60" w:after="60" w:line="276" w:lineRule="auto"/>
        <w:ind w:firstLine="170"/>
      </w:pPr>
      <w:r>
        <w:rPr>
          <w:rFonts w:ascii="Times New Roman" w:hAnsi="Times New Roman" w:eastAsia="Times New Roman"/>
          <w:sz w:val="24"/>
        </w:rPr>
        <w:t>• Cho Harman's single-factor test: % phương sai của nhân tố đầu tiên.</w:t>
      </w:r>
    </w:p>
    <w:p>
      <w:pPr>
        <w:spacing w:before="60" w:after="60" w:line="276" w:lineRule="auto"/>
        <w:ind w:firstLine="170"/>
      </w:pPr>
      <w:r>
        <w:rPr>
          <w:rFonts w:ascii="Times New Roman" w:hAnsi="Times New Roman" w:eastAsia="Times New Roman"/>
          <w:sz w:val="24"/>
        </w:rPr>
        <w:t>• Quy ước báo cáo: dấu phẩy thập phân kiểu Việt Nam (0,376 thay vì 0.376) cho bản tiếng Việt; dấu chấm cho bản tiếng Anh.</w:t>
      </w:r>
    </w:p>
    <w:p>
      <w:pPr>
        <w:spacing w:before="60" w:after="60" w:line="276" w:lineRule="auto"/>
        <w:ind w:firstLine="170"/>
      </w:pPr>
      <w:r>
        <w:rPr>
          <w:rFonts w:ascii="Times New Roman" w:hAnsi="Times New Roman" w:eastAsia="Times New Roman"/>
          <w:sz w:val="24"/>
        </w:rPr>
        <w:t>• Khi có FIT KÉM (RMSEA &gt; 0,08 hoặc CFI &lt; 0,90), cần phân tích so sánh mô hình thay thế (alternative model comparison).</w:t>
      </w:r>
    </w:p>
    <w:p>
      <w:pPr>
        <w:spacing w:before="60" w:after="60" w:line="276" w:lineRule="auto"/>
        <w:ind w:firstLine="283"/>
        <w:jc w:val="both"/>
      </w:pPr>
      <w:r>
        <w:rPr>
          <w:rFonts w:ascii="Times New Roman" w:hAnsi="Times New Roman" w:eastAsia="Times New Roman"/>
          <w:i/>
          <w:sz w:val="22"/>
        </w:rPr>
        <w:t>Phụ lục này được biên soạn nhằm chuẩn hóa cách diễn giải số liệu giữa nhóm tác giả viết bản thảo và nhóm phân tích dữ liệu, đảm bảo mọi con số trong bản thảo đều khớp với output SEM gốc và được hiểu nhất quán.</w:t>
      </w:r>
    </w:p>
    <w:p>
      <w:pPr>
        <w:spacing w:before="280" w:after="120" w:line="276" w:lineRule="auto"/>
      </w:pPr>
      <w:r>
        <w:rPr>
          <w:rFonts w:ascii="Times New Roman" w:hAnsi="Times New Roman" w:eastAsia="Times New Roman"/>
          <w:b/>
          <w:sz w:val="26"/>
        </w:rPr>
        <w:t>Phụ lục bổ sung — Danh sách 12 tạp chí mục tiêu (Q2 đến Q3)</w:t>
      </w:r>
    </w:p>
    <w:p>
      <w:pPr>
        <w:spacing w:before="60" w:after="60" w:line="276" w:lineRule="auto"/>
        <w:ind w:firstLine="283"/>
        <w:jc w:val="both"/>
      </w:pPr>
      <w:r>
        <w:rPr>
          <w:rFonts w:ascii="Times New Roman" w:hAnsi="Times New Roman" w:eastAsia="Times New Roman"/>
          <w:sz w:val="24"/>
        </w:rPr>
        <w:t>Danh sách dưới đây tổng hợp 12 tạp chí quốc tế phù hợp cho bài Q2.5 này, được sắp xếp theo thứ tự ưu tiên nộp. Mỗi tạp chí đi kèm chỉ số tác động (Impact Factor) năm 2024, phân khúc Quartile, phí xuất bản open access (APC), thời gian phản biện ước tính, mức phù hợp scope (đánh giá 1–5 sao) và ghi chú chiến thuật.</w:t>
      </w:r>
    </w:p>
    <w:p>
      <w:pPr>
        <w:spacing w:before="160" w:after="80" w:line="276" w:lineRule="auto"/>
      </w:pPr>
      <w:r>
        <w:rPr>
          <w:rFonts w:ascii="Times New Roman" w:hAnsi="Times New Roman" w:eastAsia="Times New Roman"/>
          <w:b/>
          <w:i/>
          <w:sz w:val="24"/>
        </w:rPr>
        <w:t>Bảng — 12 tạp chí mục tiêu</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Tạp chí</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Ghi chú</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Chiến thuật nộp (submission cascade)</w:t>
      </w:r>
    </w:p>
    <w:p>
      <w:pPr>
        <w:spacing w:before="60" w:after="60" w:line="276" w:lineRule="auto"/>
        <w:ind w:firstLine="170"/>
        <w:jc w:val="both"/>
      </w:pPr>
      <w:r>
        <w:rPr>
          <w:rFonts w:ascii="Times New Roman" w:hAnsi="Times New Roman" w:eastAsia="Times New Roman"/>
          <w:sz w:val="24"/>
        </w:rPr>
        <w:t>• Tier 1 — uy tín cao, tốc độ nhanh (Tuần 0–12). Nộp Frontiers in Psychiatry trước; quyết định trong ~77 ngày. Nếu reject, chuyển sang Asian Journal of Psychiatry (lựa chọn cultural fit tốt nhất).</w:t>
      </w:r>
    </w:p>
    <w:p>
      <w:pPr>
        <w:spacing w:before="60" w:after="60" w:line="276" w:lineRule="auto"/>
        <w:ind w:firstLine="170"/>
        <w:jc w:val="both"/>
      </w:pPr>
      <w:r>
        <w:rPr>
          <w:rFonts w:ascii="Times New Roman" w:hAnsi="Times New Roman" w:eastAsia="Times New Roman"/>
          <w:sz w:val="24"/>
        </w:rPr>
        <w:t>• Tier 2 — Springer/Wiley backup (Tuần 12–24). Nếu cả Tier 1 reject, nộp Child Psychiatry &amp; Human Development (Springer) hoặc School Mental Health (Springer) — đều có ecosystem phản biện rõ ràng.</w:t>
      </w:r>
    </w:p>
    <w:p>
      <w:pPr>
        <w:spacing w:before="60" w:after="60" w:line="276" w:lineRule="auto"/>
        <w:ind w:firstLine="170"/>
        <w:jc w:val="both"/>
      </w:pPr>
      <w:r>
        <w:rPr>
          <w:rFonts w:ascii="Times New Roman" w:hAnsi="Times New Roman" w:eastAsia="Times New Roman"/>
          <w:sz w:val="24"/>
        </w:rPr>
        <w:t>• Tier 3 — open access broad (Tuần 24–36). Nếu Tier 2 reject, nộp BMC Psychology (€1.390 — rẻ nhất) hoặc Frontiers in Psychology. Cambridge Prisms: Global Mental Health đặc biệt phù hợp do nhấn mạnh LMIC.</w:t>
      </w:r>
    </w:p>
    <w:p>
      <w:pPr>
        <w:spacing w:before="60" w:after="60" w:line="276" w:lineRule="auto"/>
        <w:ind w:firstLine="170"/>
        <w:jc w:val="both"/>
      </w:pPr>
      <w:r>
        <w:rPr>
          <w:rFonts w:ascii="Times New Roman" w:hAnsi="Times New Roman" w:eastAsia="Times New Roman"/>
          <w:sz w:val="24"/>
        </w:rPr>
        <w:t>• Tier 4 — policy/services hoặc Q3 (Tuần 36+). Nếu vẫn reject, chuyển sang Children and Youth Services Review (policy lane), Journal of School Health (nhấn implications học đường) hoặc Vulnerable Children and Youth Studies (Q3 backup an toàn).</w:t>
      </w:r>
    </w:p>
    <w:p>
      <w:pPr>
        <w:spacing w:before="160" w:after="80" w:line="276" w:lineRule="auto"/>
      </w:pPr>
      <w:r>
        <w:rPr>
          <w:rFonts w:ascii="Times New Roman" w:hAnsi="Times New Roman" w:eastAsia="Times New Roman"/>
          <w:b/>
          <w:i/>
          <w:sz w:val="24"/>
        </w:rPr>
        <w:t>Cảnh báo cần tránh</w:t>
      </w:r>
    </w:p>
    <w:p>
      <w:pPr>
        <w:spacing w:before="60" w:after="60" w:line="276" w:lineRule="auto"/>
        <w:ind w:firstLine="170"/>
        <w:jc w:val="both"/>
      </w:pPr>
      <w:r>
        <w:rPr>
          <w:rFonts w:ascii="Times New Roman" w:hAnsi="Times New Roman" w:eastAsia="Times New Roman"/>
          <w:sz w:val="24"/>
        </w:rPr>
        <w:t>• Tránh MDPI International Journal of Environmental Research and Public Health (IJERPH) — Clarivate đã loại tạp chí này khỏi Web of Science năm 2024 do quan ngại về citation inflation.</w:t>
      </w:r>
    </w:p>
    <w:p>
      <w:pPr>
        <w:spacing w:before="60" w:after="60" w:line="276" w:lineRule="auto"/>
        <w:ind w:firstLine="170"/>
        <w:jc w:val="both"/>
      </w:pPr>
      <w:r>
        <w:rPr>
          <w:rFonts w:ascii="Times New Roman" w:hAnsi="Times New Roman" w:eastAsia="Times New Roman"/>
          <w:sz w:val="24"/>
        </w:rPr>
        <w:t>• Cẩn thận với các tạp chí có model hybrid (kết hợp subscription + OA) — đọc kỹ chính sách phí trước khi nộp.</w:t>
      </w:r>
    </w:p>
    <w:p>
      <w:pPr>
        <w:spacing w:before="60" w:after="60" w:line="276" w:lineRule="auto"/>
        <w:ind w:firstLine="170"/>
        <w:jc w:val="both"/>
      </w:pPr>
      <w:r>
        <w:rPr>
          <w:rFonts w:ascii="Times New Roman" w:hAnsi="Times New Roman" w:eastAsia="Times New Roman"/>
          <w:sz w:val="24"/>
        </w:rPr>
        <w:t>• Tránh các tạp chí có acceptance rate &lt; 10% nếu bài chưa qua editing tiếng Anh chuyên nghiệp.</w:t>
      </w:r>
    </w:p>
    <w:p>
      <w:pPr>
        <w:spacing w:before="160" w:after="80" w:line="276" w:lineRule="auto"/>
      </w:pPr>
      <w:r>
        <w:rPr>
          <w:rFonts w:ascii="Times New Roman" w:hAnsi="Times New Roman" w:eastAsia="Times New Roman"/>
          <w:b/>
          <w:i/>
          <w:sz w:val="24"/>
        </w:rPr>
        <w:t>Lưu ý chuẩn bị nộp</w:t>
      </w:r>
    </w:p>
    <w:p>
      <w:pPr>
        <w:spacing w:before="60" w:after="60" w:line="276" w:lineRule="auto"/>
        <w:ind w:firstLine="170"/>
        <w:jc w:val="both"/>
      </w:pPr>
      <w:r>
        <w:rPr>
          <w:rFonts w:ascii="Times New Roman" w:hAnsi="Times New Roman" w:eastAsia="Times New Roman"/>
          <w:sz w:val="24"/>
        </w:rPr>
        <w:t>• Tất cả tạp chí Q2-Q3 trên đều yêu cầu cover letter ngắn (≤ 1 trang) nêu rõ đóng góp mới + lý do phù hợp với scope.</w:t>
      </w:r>
    </w:p>
    <w:p>
      <w:pPr>
        <w:spacing w:before="60" w:after="60" w:line="276" w:lineRule="auto"/>
        <w:ind w:firstLine="170"/>
        <w:jc w:val="both"/>
      </w:pPr>
      <w:r>
        <w:rPr>
          <w:rFonts w:ascii="Times New Roman" w:hAnsi="Times New Roman" w:eastAsia="Times New Roman"/>
          <w:sz w:val="24"/>
        </w:rPr>
        <w:t>• Bài Q2.5 này nên được edit ngôn ngữ bởi native English speaker (Editage, Enago, American Journal Experts) trước khi nộp Tier 1, vì các tạp chí Frontiers + Springer + Elsevier có thể desk-reject vì lý do ngôn ngữ.</w:t>
      </w:r>
    </w:p>
    <w:p>
      <w:pPr>
        <w:spacing w:before="60" w:after="60" w:line="276" w:lineRule="auto"/>
        <w:ind w:firstLine="170"/>
        <w:jc w:val="both"/>
      </w:pPr>
      <w:r>
        <w:rPr>
          <w:rFonts w:ascii="Times New Roman" w:hAnsi="Times New Roman" w:eastAsia="Times New Roman"/>
          <w:sz w:val="24"/>
        </w:rPr>
        <w:t>• Khai báo công cụ AI (LLM) trong cover letter và trong mục Phương pháp nghiên cứu, tuân theo yêu cầu hiện hành của các nhà xuất bản lớn (Elsevier, Springer, Wiley, Frontiers đều đã có chính sách riêng từ 2024).</w:t>
      </w:r>
    </w:p>
    <w:p>
      <w:pPr>
        <w:spacing w:before="60" w:after="60" w:line="276" w:lineRule="auto"/>
        <w:ind w:firstLine="170"/>
        <w:jc w:val="both"/>
      </w:pPr>
      <w:r>
        <w:rPr>
          <w:rFonts w:ascii="Times New Roman" w:hAnsi="Times New Roman" w:eastAsia="Times New Roman"/>
          <w:sz w:val="24"/>
        </w:rPr>
        <w:t>• Bộ ba bài đồng hành (Validation của Công và Đào 2026 + 2 bài VJES) nên được cite rõ ràng trong Introduction và Methods để editor không nghi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