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6"/>
        </w:rPr>
        <w:t>BẢN DỊCH + PHẢN BIỆN CHI TIẾT (PHIÊN BẢN 3)</w:t>
      </w:r>
    </w:p>
    <w:p>
      <w:pPr>
        <w:jc w:val="center"/>
      </w:pPr>
      <w:r>
        <w:rPr>
          <w:rFonts w:ascii="Times New Roman" w:hAnsi="Times New Roman"/>
          <w:b/>
          <w:color w:val="0070C0"/>
          <w:sz w:val="28"/>
        </w:rPr>
        <w:t>CÁC YẾU TỐ TIÊN LƯỢNG TỪ TUỔI VỊ THÀNH NIÊN SỚM</w:t>
      </w:r>
    </w:p>
    <w:p>
      <w:pPr>
        <w:jc w:val="center"/>
      </w:pPr>
      <w:r>
        <w:rPr>
          <w:rFonts w:ascii="Times New Roman" w:hAnsi="Times New Roman"/>
          <w:b/>
          <w:color w:val="0070C0"/>
          <w:sz w:val="28"/>
        </w:rPr>
        <w:t>ĐẾN ỨNG PHÓ THÍCH NGHI VÀ CĂNG THẲNG TÂM LÝ</w:t>
      </w:r>
    </w:p>
    <w:p>
      <w:pPr>
        <w:jc w:val="center"/>
      </w:pPr>
      <w:r>
        <w:rPr>
          <w:rFonts w:ascii="Times New Roman" w:hAnsi="Times New Roman"/>
          <w:b/>
          <w:color w:val="0070C0"/>
          <w:sz w:val="28"/>
        </w:rPr>
        <w:t>Ở THANH NIÊN TRONG ĐẠI DỊCH COVID-19</w:t>
      </w:r>
    </w:p>
    <w:p>
      <w:pPr>
        <w:jc w:val="center"/>
      </w:pPr>
      <w:r>
        <w:rPr>
          <w:rFonts w:ascii="Times New Roman" w:hAnsi="Times New Roman"/>
          <w:b/>
          <w:color w:val="0070C0"/>
          <w:sz w:val="26"/>
        </w:rPr>
        <w:t>(NGHIÊN CỨU COHORT DÀI HẠN 9 NĂM)</w:t>
      </w:r>
    </w:p>
    <w:p>
      <w:r>
        <w:rPr>
          <w:rFonts w:ascii="Times New Roman" w:hAnsi="Times New Roman"/>
          <w:b w:val="0"/>
          <w:i w:val="0"/>
          <w:sz w:val="24"/>
        </w:rPr>
      </w:r>
    </w:p>
    <w:p>
      <w:pPr>
        <w:jc w:val="center"/>
      </w:pPr>
      <w:r>
        <w:rPr>
          <w:rFonts w:ascii="Times New Roman" w:hAnsi="Times New Roman"/>
          <w:i/>
          <w:color w:val="555555"/>
          <w:sz w:val="22"/>
        </w:rPr>
        <w:t>Early Adolescent Predictors of Young Adults' Distress and Adaptive Coping</w:t>
      </w:r>
    </w:p>
    <w:p>
      <w:pPr>
        <w:jc w:val="center"/>
      </w:pPr>
      <w:r>
        <w:rPr>
          <w:rFonts w:ascii="Times New Roman" w:hAnsi="Times New Roman"/>
          <w:i/>
          <w:color w:val="555555"/>
          <w:sz w:val="22"/>
        </w:rPr>
        <w:t>During the COVID-19 Pandemic: Findings From a Longitudinal Cohort Study</w:t>
      </w:r>
    </w:p>
    <w:p>
      <w:r>
        <w:rPr>
          <w:rFonts w:ascii="Times New Roman" w:hAnsi="Times New Roman"/>
          <w:b w:val="0"/>
          <w:i w:val="0"/>
          <w:sz w:val="24"/>
        </w:rPr>
      </w:r>
    </w:p>
    <w:p>
      <w:pPr>
        <w:jc w:val="center"/>
      </w:pPr>
      <w:r>
        <w:rPr>
          <w:rFonts w:ascii="Times New Roman" w:hAnsi="Times New Roman"/>
          <w:i/>
          <w:color w:val="555555"/>
          <w:sz w:val="22"/>
        </w:rPr>
        <w:t>Steinhoff A, Johnson-Ferguson L, Bechtiger L và cộng sự (2023)</w:t>
      </w:r>
    </w:p>
    <w:p>
      <w:pPr>
        <w:jc w:val="center"/>
      </w:pPr>
      <w:r>
        <w:rPr>
          <w:rFonts w:ascii="Times New Roman" w:hAnsi="Times New Roman"/>
          <w:i/>
          <w:color w:val="555555"/>
          <w:sz w:val="22"/>
        </w:rPr>
        <w:t>Journal of Early Adolescence, Tập 44(9): 1250–1280</w:t>
      </w:r>
    </w:p>
    <w:p>
      <w:pPr>
        <w:jc w:val="center"/>
      </w:pPr>
      <w:r>
        <w:rPr>
          <w:rFonts w:ascii="Times New Roman" w:hAnsi="Times New Roman"/>
          <w:i/>
          <w:color w:val="555555"/>
          <w:sz w:val="22"/>
        </w:rPr>
        <w:t>DOI: 10.1177/02724316231181660 — PMID 39372429 — PMC10261967</w:t>
      </w:r>
    </w:p>
    <w:p>
      <w:r>
        <w:rPr>
          <w:rFonts w:ascii="Times New Roman" w:hAnsi="Times New Roman"/>
          <w:b w:val="0"/>
          <w:i w:val="0"/>
          <w:sz w:val="24"/>
        </w:rPr>
      </w:r>
    </w:p>
    <w:p>
      <w:pPr>
        <w:jc w:val="center"/>
      </w:pPr>
      <w:r>
        <w:rPr>
          <w:rFonts w:ascii="Times New Roman" w:hAnsi="Times New Roman"/>
          <w:i/>
          <w:color w:val="555555"/>
          <w:sz w:val="22"/>
        </w:rPr>
        <w:t>Trợ lý nghiên cứu — 27/04/2026 — V3 chi tiết</w:t>
      </w:r>
    </w:p>
    <w:p>
      <w:pPr>
        <w:jc w:val="center"/>
      </w:pPr>
      <w:r>
        <w:rPr>
          <w:rFonts w:ascii="Times New Roman" w:hAnsi="Times New Roman"/>
          <w:i/>
          <w:color w:val="555555"/>
          <w:sz w:val="22"/>
        </w:rPr>
        <w:t>Tiếng Việt thuần — chú thích thuật ngữ tiếng Anh trong ngoặc khi cần</w:t>
      </w:r>
    </w:p>
    <w:p>
      <w:pPr>
        <w:jc w:val="center"/>
      </w:pPr>
      <w:r>
        <w:rPr>
          <w:rFonts w:ascii="Times New Roman" w:hAnsi="Times New Roman"/>
          <w:i/>
          <w:color w:val="555555"/>
          <w:sz w:val="22"/>
        </w:rPr>
        <w:t>Đường dẫn truy cập miễn phí: https://pmc.ncbi.nlm.nih.gov/articles/PMC10261967/</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Early Adolescent Predictors of Young Adults' Distress and Adaptive Coping During the COVID-19 Pandemic: Findings From a Longitudinal Cohort Study</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Các yếu tố tiên lượng từ tuổi vị thành niên sớm cho căng thẳng tâm lý và ứng phó thích nghi của thanh niên trong đại dịch COVID-19: Phát hiện từ một nghiên cứu cohort dài hạn</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Steinhoff A, Johnson-Ferguson L, Bechtiger L, Murray AL, Hepp U, Ribeaud D, Eisner M, Shanahan L</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Early Adolescence (Sage)</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44(9): trang 1250–1280</w:t>
            </w:r>
          </w:p>
        </w:tc>
      </w:tr>
      <w:tr>
        <w:tc>
          <w:tcPr>
            <w:tcW w:type="dxa" w:w="4844"/>
            <w:tcW w:w="2268" w:type="dxa"/>
          </w:tcPr>
          <w:p>
            <w:r>
              <w:rPr>
                <w:rFonts w:ascii="Times New Roman" w:hAnsi="Times New Roman"/>
                <w:sz w:val="18"/>
              </w:rPr>
              <w:t>Năm xuất bản (online)</w:t>
            </w:r>
          </w:p>
        </w:tc>
        <w:tc>
          <w:tcPr>
            <w:tcW w:type="dxa" w:w="4844"/>
            <w:tcW w:w="6804" w:type="dxa"/>
          </w:tcPr>
          <w:p>
            <w:r>
              <w:rPr>
                <w:rFonts w:ascii="Times New Roman" w:hAnsi="Times New Roman"/>
                <w:sz w:val="18"/>
              </w:rPr>
              <w:t>2023 (xuất bản online tháng 6/2023)</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10.1177/02724316231181660</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39372429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PMC10261967</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Nghiên cứu cohort dài hạn (longitudinal cohort study) theo dõi 9 năm — từ tuổi 13 (2011) đến tuổi ~22 (4-9/2020 trong đại dịch COVID-19)</w:t>
            </w:r>
          </w:p>
        </w:tc>
      </w:tr>
      <w:tr>
        <w:tc>
          <w:tcPr>
            <w:tcW w:type="dxa" w:w="4844"/>
            <w:tcW w:w="2268" w:type="dxa"/>
          </w:tcPr>
          <w:p>
            <w:r>
              <w:rPr>
                <w:rFonts w:ascii="Times New Roman" w:hAnsi="Times New Roman"/>
                <w:sz w:val="18"/>
              </w:rPr>
              <w:t>Cỡ mẫu phân tích</w:t>
            </w:r>
          </w:p>
        </w:tc>
        <w:tc>
          <w:tcPr>
            <w:tcW w:type="dxa" w:w="4844"/>
            <w:tcW w:w="6804" w:type="dxa"/>
          </w:tcPr>
          <w:p>
            <w:r>
              <w:rPr>
                <w:rFonts w:ascii="Times New Roman" w:hAnsi="Times New Roman"/>
                <w:sz w:val="18"/>
              </w:rPr>
              <w:t>N = 786 (mẫu gốc cohort z-proso ban đầu là 1.675 học sinh lớp 1 của Zurich năm 2004)</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Zurich, Thuỵ Sĩ. Dự án Phát triển Xã hội Zurich (Zurich Project on Social Development from Childhood to Adulthood — z-proso)</w:t>
            </w:r>
          </w:p>
        </w:tc>
      </w:tr>
      <w:tr>
        <w:tc>
          <w:tcPr>
            <w:tcW w:type="dxa" w:w="4844"/>
            <w:tcW w:w="2268" w:type="dxa"/>
          </w:tcPr>
          <w:p>
            <w:r>
              <w:rPr>
                <w:rFonts w:ascii="Times New Roman" w:hAnsi="Times New Roman"/>
                <w:sz w:val="18"/>
              </w:rPr>
              <w:t>Tài trợ</w:t>
            </w:r>
          </w:p>
        </w:tc>
        <w:tc>
          <w:tcPr>
            <w:tcW w:type="dxa" w:w="4844"/>
            <w:tcW w:w="6804" w:type="dxa"/>
          </w:tcPr>
          <w:p>
            <w:r>
              <w:rPr>
                <w:rFonts w:ascii="Times New Roman" w:hAnsi="Times New Roman"/>
                <w:sz w:val="18"/>
              </w:rPr>
              <w:t>Quỹ Jacobs (mã 2010-888, 2013-1081-1) + Quỹ Khoa học Quốc gia Thuỵ Sĩ (SNSF mã 100014_132124, 100014_149979, 10FI14_170402/2, 10FI14_170409)</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Tác giả công bố KHÔNG có xung đột lợi ích</w:t>
            </w:r>
          </w:p>
        </w:tc>
      </w:tr>
      <w:tr>
        <w:tc>
          <w:tcPr>
            <w:tcW w:type="dxa" w:w="4844"/>
            <w:tcW w:w="2268" w:type="dxa"/>
          </w:tcPr>
          <w:p>
            <w:r>
              <w:rPr>
                <w:rFonts w:ascii="Times New Roman" w:hAnsi="Times New Roman"/>
                <w:sz w:val="18"/>
              </w:rPr>
              <w:t>PDF gốc trong dự án</w:t>
            </w:r>
          </w:p>
        </w:tc>
        <w:tc>
          <w:tcPr>
            <w:tcW w:type="dxa" w:w="4844"/>
            <w:tcW w:w="6804" w:type="dxa"/>
          </w:tcPr>
          <w:p>
            <w:r>
              <w:rPr>
                <w:rFonts w:ascii="Times New Roman" w:hAnsi="Times New Roman"/>
                <w:sz w:val="18"/>
              </w:rPr>
              <w:t>02_Papers-goc/Coping_Effectiveness/Steinhoff_2023_Longitudinal_Coping_COVID_JEA.pdf (1,1 MB, 31 trang)</w:t>
            </w:r>
          </w:p>
        </w:tc>
      </w:tr>
    </w:tbl>
    <w:p>
      <w:r>
        <w:rPr>
          <w:rFonts w:ascii="Times New Roman" w:hAnsi="Times New Roman"/>
          <w:b/>
          <w:color w:val="0070C0"/>
          <w:sz w:val="30"/>
        </w:rPr>
        <w:t>BẢNG TỪ VIẾT TẮT DÙNG TRONG TÀI LIỆU NÀY</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Tiếng Việt</w:t>
            </w:r>
          </w:p>
        </w:tc>
        <w:tc>
          <w:tcPr>
            <w:tcW w:type="dxa" w:w="3230"/>
            <w:tcW w:w="4252" w:type="dxa"/>
            <w:shd w:fill="D9E2F3" w:val="clear"/>
          </w:tcPr>
          <w:p>
            <w:pPr>
              <w:jc w:val="center"/>
            </w:pPr>
            <w:r>
              <w:rPr>
                <w:rFonts w:ascii="Times New Roman" w:hAnsi="Times New Roman"/>
                <w:b/>
                <w:sz w:val="20"/>
              </w:rPr>
              <w:t>Tiếng Anh đầy đủ</w:t>
            </w:r>
          </w:p>
        </w:tc>
        <w:tc>
          <w:tcPr>
            <w:tcW w:type="dxa" w:w="3230"/>
            <w:tcW w:w="1701" w:type="dxa"/>
            <w:shd w:fill="D9E2F3" w:val="clear"/>
          </w:tcPr>
          <w:p>
            <w:pPr>
              <w:jc w:val="center"/>
            </w:pPr>
            <w:r>
              <w:rPr>
                <w:rFonts w:ascii="Times New Roman" w:hAnsi="Times New Roman"/>
                <w:b/>
                <w:sz w:val="20"/>
              </w:rPr>
              <w:t>Viết tắt</w:t>
            </w:r>
          </w:p>
        </w:tc>
      </w:tr>
      <w:tr>
        <w:tc>
          <w:tcPr>
            <w:tcW w:type="dxa" w:w="3230"/>
            <w:tcW w:w="3118" w:type="dxa"/>
          </w:tcPr>
          <w:p>
            <w:r>
              <w:rPr>
                <w:rFonts w:ascii="Times New Roman" w:hAnsi="Times New Roman"/>
                <w:sz w:val="18"/>
              </w:rPr>
              <w:t>Dự án Phát triển Xã hội Zurich</w:t>
            </w:r>
          </w:p>
        </w:tc>
        <w:tc>
          <w:tcPr>
            <w:tcW w:type="dxa" w:w="3230"/>
            <w:tcW w:w="4252" w:type="dxa"/>
          </w:tcPr>
          <w:p>
            <w:r>
              <w:rPr>
                <w:rFonts w:ascii="Times New Roman" w:hAnsi="Times New Roman"/>
                <w:sz w:val="18"/>
              </w:rPr>
              <w:t>Zurich Project on Social Development</w:t>
            </w:r>
          </w:p>
        </w:tc>
        <w:tc>
          <w:tcPr>
            <w:tcW w:type="dxa" w:w="3230"/>
            <w:tcW w:w="1701" w:type="dxa"/>
          </w:tcPr>
          <w:p>
            <w:r>
              <w:rPr>
                <w:rFonts w:ascii="Times New Roman" w:hAnsi="Times New Roman"/>
                <w:sz w:val="18"/>
              </w:rPr>
              <w:t>z-proso</w:t>
            </w:r>
          </w:p>
        </w:tc>
      </w:tr>
      <w:tr>
        <w:tc>
          <w:tcPr>
            <w:tcW w:type="dxa" w:w="3230"/>
            <w:tcW w:w="3118" w:type="dxa"/>
          </w:tcPr>
          <w:p>
            <w:r>
              <w:rPr>
                <w:rFonts w:ascii="Times New Roman" w:hAnsi="Times New Roman"/>
                <w:sz w:val="18"/>
              </w:rPr>
              <w:t>Bộ thang đo COPE rút gọn</w:t>
            </w:r>
          </w:p>
        </w:tc>
        <w:tc>
          <w:tcPr>
            <w:tcW w:type="dxa" w:w="3230"/>
            <w:tcW w:w="4252" w:type="dxa"/>
          </w:tcPr>
          <w:p>
            <w:r>
              <w:rPr>
                <w:rFonts w:ascii="Times New Roman" w:hAnsi="Times New Roman"/>
                <w:sz w:val="18"/>
              </w:rPr>
              <w:t>Brief COPE Inventory</w:t>
            </w:r>
          </w:p>
        </w:tc>
        <w:tc>
          <w:tcPr>
            <w:tcW w:type="dxa" w:w="3230"/>
            <w:tcW w:w="1701" w:type="dxa"/>
          </w:tcPr>
          <w:p>
            <w:r>
              <w:rPr>
                <w:rFonts w:ascii="Times New Roman" w:hAnsi="Times New Roman"/>
                <w:sz w:val="18"/>
              </w:rPr>
              <w:t>Brief COPE</w:t>
            </w:r>
          </w:p>
        </w:tc>
      </w:tr>
      <w:tr>
        <w:tc>
          <w:tcPr>
            <w:tcW w:type="dxa" w:w="3230"/>
            <w:tcW w:w="3118" w:type="dxa"/>
          </w:tcPr>
          <w:p>
            <w:r>
              <w:rPr>
                <w:rFonts w:ascii="Times New Roman" w:hAnsi="Times New Roman"/>
                <w:sz w:val="18"/>
              </w:rPr>
              <w:t>Hệ thống chỉ số kinh tế xã hội quốc tế</w:t>
            </w:r>
          </w:p>
        </w:tc>
        <w:tc>
          <w:tcPr>
            <w:tcW w:type="dxa" w:w="3230"/>
            <w:tcW w:w="4252" w:type="dxa"/>
          </w:tcPr>
          <w:p>
            <w:r>
              <w:rPr>
                <w:rFonts w:ascii="Times New Roman" w:hAnsi="Times New Roman"/>
                <w:sz w:val="18"/>
              </w:rPr>
              <w:t>International Socio-Economic Index</w:t>
            </w:r>
          </w:p>
        </w:tc>
        <w:tc>
          <w:tcPr>
            <w:tcW w:type="dxa" w:w="3230"/>
            <w:tcW w:w="1701" w:type="dxa"/>
          </w:tcPr>
          <w:p>
            <w:r>
              <w:rPr>
                <w:rFonts w:ascii="Times New Roman" w:hAnsi="Times New Roman"/>
                <w:sz w:val="18"/>
              </w:rPr>
              <w:t>ISEI</w:t>
            </w:r>
          </w:p>
        </w:tc>
      </w:tr>
      <w:tr>
        <w:tc>
          <w:tcPr>
            <w:tcW w:type="dxa" w:w="3230"/>
            <w:tcW w:w="3118" w:type="dxa"/>
          </w:tcPr>
          <w:p>
            <w:r>
              <w:rPr>
                <w:rFonts w:ascii="Times New Roman" w:hAnsi="Times New Roman"/>
                <w:sz w:val="18"/>
              </w:rPr>
              <w:t>Hệ số tin cậy nội tại Cronbach</w:t>
            </w:r>
          </w:p>
        </w:tc>
        <w:tc>
          <w:tcPr>
            <w:tcW w:type="dxa" w:w="3230"/>
            <w:tcW w:w="4252" w:type="dxa"/>
          </w:tcPr>
          <w:p>
            <w:r>
              <w:rPr>
                <w:rFonts w:ascii="Times New Roman" w:hAnsi="Times New Roman"/>
                <w:sz w:val="18"/>
              </w:rPr>
              <w:t>Cronbach's alpha</w:t>
            </w:r>
          </w:p>
        </w:tc>
        <w:tc>
          <w:tcPr>
            <w:tcW w:type="dxa" w:w="3230"/>
            <w:tcW w:w="1701" w:type="dxa"/>
          </w:tcPr>
          <w:p>
            <w:r>
              <w:rPr>
                <w:rFonts w:ascii="Times New Roman" w:hAnsi="Times New Roman"/>
                <w:sz w:val="18"/>
              </w:rPr>
              <w:t>α</w:t>
            </w:r>
          </w:p>
        </w:tc>
      </w:tr>
      <w:tr>
        <w:tc>
          <w:tcPr>
            <w:tcW w:type="dxa" w:w="3230"/>
            <w:tcW w:w="3118" w:type="dxa"/>
          </w:tcPr>
          <w:p>
            <w:r>
              <w:rPr>
                <w:rFonts w:ascii="Times New Roman" w:hAnsi="Times New Roman"/>
                <w:sz w:val="18"/>
              </w:rPr>
              <w:t>Hệ số chuẩn hoá</w:t>
            </w:r>
          </w:p>
        </w:tc>
        <w:tc>
          <w:tcPr>
            <w:tcW w:type="dxa" w:w="3230"/>
            <w:tcW w:w="4252" w:type="dxa"/>
          </w:tcPr>
          <w:p>
            <w:r>
              <w:rPr>
                <w:rFonts w:ascii="Times New Roman" w:hAnsi="Times New Roman"/>
                <w:sz w:val="18"/>
              </w:rPr>
              <w:t>Standardized regression coefficient</w:t>
            </w:r>
          </w:p>
        </w:tc>
        <w:tc>
          <w:tcPr>
            <w:tcW w:type="dxa" w:w="3230"/>
            <w:tcW w:w="1701" w:type="dxa"/>
          </w:tcPr>
          <w:p>
            <w:r>
              <w:rPr>
                <w:rFonts w:ascii="Times New Roman" w:hAnsi="Times New Roman"/>
                <w:sz w:val="18"/>
              </w:rPr>
              <w:t>β</w:t>
            </w:r>
          </w:p>
        </w:tc>
      </w:tr>
      <w:tr>
        <w:tc>
          <w:tcPr>
            <w:tcW w:type="dxa" w:w="3230"/>
            <w:tcW w:w="3118" w:type="dxa"/>
          </w:tcPr>
          <w:p>
            <w:r>
              <w:rPr>
                <w:rFonts w:ascii="Times New Roman" w:hAnsi="Times New Roman"/>
                <w:sz w:val="18"/>
              </w:rPr>
              <w:t>Khoảng tin cậy 95%</w:t>
            </w:r>
          </w:p>
        </w:tc>
        <w:tc>
          <w:tcPr>
            <w:tcW w:type="dxa" w:w="3230"/>
            <w:tcW w:w="4252"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3118" w:type="dxa"/>
          </w:tcPr>
          <w:p>
            <w:r>
              <w:rPr>
                <w:rFonts w:ascii="Times New Roman" w:hAnsi="Times New Roman"/>
                <w:sz w:val="18"/>
              </w:rPr>
              <w:t>Hệ số tương quan</w:t>
            </w:r>
          </w:p>
        </w:tc>
        <w:tc>
          <w:tcPr>
            <w:tcW w:type="dxa" w:w="3230"/>
            <w:tcW w:w="4252" w:type="dxa"/>
          </w:tcPr>
          <w:p>
            <w:r>
              <w:rPr>
                <w:rFonts w:ascii="Times New Roman" w:hAnsi="Times New Roman"/>
                <w:sz w:val="18"/>
              </w:rPr>
              <w:t>Correlation coefficient</w:t>
            </w:r>
          </w:p>
        </w:tc>
        <w:tc>
          <w:tcPr>
            <w:tcW w:type="dxa" w:w="3230"/>
            <w:tcW w:w="1701" w:type="dxa"/>
          </w:tcPr>
          <w:p>
            <w:r>
              <w:rPr>
                <w:rFonts w:ascii="Times New Roman" w:hAnsi="Times New Roman"/>
                <w:sz w:val="18"/>
              </w:rPr>
              <w:t>r</w:t>
            </w:r>
          </w:p>
        </w:tc>
      </w:tr>
      <w:tr>
        <w:tc>
          <w:tcPr>
            <w:tcW w:type="dxa" w:w="3230"/>
            <w:tcW w:w="3118" w:type="dxa"/>
          </w:tcPr>
          <w:p>
            <w:r>
              <w:rPr>
                <w:rFonts w:ascii="Times New Roman" w:hAnsi="Times New Roman"/>
                <w:sz w:val="18"/>
              </w:rPr>
              <w:t>Trung bình</w:t>
            </w:r>
          </w:p>
        </w:tc>
        <w:tc>
          <w:tcPr>
            <w:tcW w:type="dxa" w:w="3230"/>
            <w:tcW w:w="4252" w:type="dxa"/>
          </w:tcPr>
          <w:p>
            <w:r>
              <w:rPr>
                <w:rFonts w:ascii="Times New Roman" w:hAnsi="Times New Roman"/>
                <w:sz w:val="18"/>
              </w:rPr>
              <w:t>Mean</w:t>
            </w:r>
          </w:p>
        </w:tc>
        <w:tc>
          <w:tcPr>
            <w:tcW w:type="dxa" w:w="3230"/>
            <w:tcW w:w="1701" w:type="dxa"/>
          </w:tcPr>
          <w:p>
            <w:r>
              <w:rPr>
                <w:rFonts w:ascii="Times New Roman" w:hAnsi="Times New Roman"/>
                <w:sz w:val="18"/>
              </w:rPr>
              <w:t>M</w:t>
            </w:r>
          </w:p>
        </w:tc>
      </w:tr>
      <w:tr>
        <w:tc>
          <w:tcPr>
            <w:tcW w:type="dxa" w:w="3230"/>
            <w:tcW w:w="3118" w:type="dxa"/>
          </w:tcPr>
          <w:p>
            <w:r>
              <w:rPr>
                <w:rFonts w:ascii="Times New Roman" w:hAnsi="Times New Roman"/>
                <w:sz w:val="18"/>
              </w:rPr>
              <w:t>Sai số chuẩn</w:t>
            </w:r>
          </w:p>
        </w:tc>
        <w:tc>
          <w:tcPr>
            <w:tcW w:type="dxa" w:w="3230"/>
            <w:tcW w:w="4252" w:type="dxa"/>
          </w:tcPr>
          <w:p>
            <w:r>
              <w:rPr>
                <w:rFonts w:ascii="Times New Roman" w:hAnsi="Times New Roman"/>
                <w:sz w:val="18"/>
              </w:rPr>
              <w:t>Standard Deviation</w:t>
            </w:r>
          </w:p>
        </w:tc>
        <w:tc>
          <w:tcPr>
            <w:tcW w:type="dxa" w:w="3230"/>
            <w:tcW w:w="1701" w:type="dxa"/>
          </w:tcPr>
          <w:p>
            <w:r>
              <w:rPr>
                <w:rFonts w:ascii="Times New Roman" w:hAnsi="Times New Roman"/>
                <w:sz w:val="18"/>
              </w:rPr>
              <w:t>SD</w:t>
            </w:r>
          </w:p>
        </w:tc>
      </w:tr>
      <w:tr>
        <w:tc>
          <w:tcPr>
            <w:tcW w:type="dxa" w:w="3230"/>
            <w:tcW w:w="3118" w:type="dxa"/>
          </w:tcPr>
          <w:p>
            <w:r>
              <w:rPr>
                <w:rFonts w:ascii="Times New Roman" w:hAnsi="Times New Roman"/>
                <w:sz w:val="18"/>
              </w:rPr>
              <w:t>Phép ước lượng khả năng cực đại với sai số chuẩn vững</w:t>
            </w:r>
          </w:p>
        </w:tc>
        <w:tc>
          <w:tcPr>
            <w:tcW w:type="dxa" w:w="3230"/>
            <w:tcW w:w="4252" w:type="dxa"/>
          </w:tcPr>
          <w:p>
            <w:r>
              <w:rPr>
                <w:rFonts w:ascii="Times New Roman" w:hAnsi="Times New Roman"/>
                <w:sz w:val="18"/>
              </w:rPr>
              <w:t>Maximum Likelihood with Robust standard errors</w:t>
            </w:r>
          </w:p>
        </w:tc>
        <w:tc>
          <w:tcPr>
            <w:tcW w:type="dxa" w:w="3230"/>
            <w:tcW w:w="1701" w:type="dxa"/>
          </w:tcPr>
          <w:p>
            <w:r>
              <w:rPr>
                <w:rFonts w:ascii="Times New Roman" w:hAnsi="Times New Roman"/>
                <w:sz w:val="18"/>
              </w:rPr>
              <w:t>MLR</w:t>
            </w:r>
          </w:p>
        </w:tc>
      </w:tr>
      <w:tr>
        <w:tc>
          <w:tcPr>
            <w:tcW w:type="dxa" w:w="3230"/>
            <w:tcW w:w="3118" w:type="dxa"/>
          </w:tcPr>
          <w:p>
            <w:r>
              <w:rPr>
                <w:rFonts w:ascii="Times New Roman" w:hAnsi="Times New Roman"/>
                <w:sz w:val="18"/>
              </w:rPr>
              <w:t>Tình trạng kinh tế xã hội</w:t>
            </w:r>
          </w:p>
        </w:tc>
        <w:tc>
          <w:tcPr>
            <w:tcW w:type="dxa" w:w="3230"/>
            <w:tcW w:w="4252" w:type="dxa"/>
          </w:tcPr>
          <w:p>
            <w:r>
              <w:rPr>
                <w:rFonts w:ascii="Times New Roman" w:hAnsi="Times New Roman"/>
                <w:sz w:val="18"/>
              </w:rPr>
              <w:t>Socio-Economic Status</w:t>
            </w:r>
          </w:p>
        </w:tc>
        <w:tc>
          <w:tcPr>
            <w:tcW w:type="dxa" w:w="3230"/>
            <w:tcW w:w="1701" w:type="dxa"/>
          </w:tcPr>
          <w:p>
            <w:r>
              <w:rPr>
                <w:rFonts w:ascii="Times New Roman" w:hAnsi="Times New Roman"/>
                <w:sz w:val="18"/>
              </w:rPr>
              <w:t>SES</w:t>
            </w:r>
          </w:p>
        </w:tc>
      </w:tr>
      <w:tr>
        <w:tc>
          <w:tcPr>
            <w:tcW w:type="dxa" w:w="3230"/>
            <w:tcW w:w="3118" w:type="dxa"/>
          </w:tcPr>
          <w:p>
            <w:r>
              <w:rPr>
                <w:rFonts w:ascii="Times New Roman" w:hAnsi="Times New Roman"/>
                <w:sz w:val="18"/>
              </w:rPr>
              <w:t>Phép ngẫu nhiên hoàn toàn của dữ liệu thiếu</w:t>
            </w:r>
          </w:p>
        </w:tc>
        <w:tc>
          <w:tcPr>
            <w:tcW w:type="dxa" w:w="3230"/>
            <w:tcW w:w="4252" w:type="dxa"/>
          </w:tcPr>
          <w:p>
            <w:r>
              <w:rPr>
                <w:rFonts w:ascii="Times New Roman" w:hAnsi="Times New Roman"/>
                <w:sz w:val="18"/>
              </w:rPr>
              <w:t>Missing Completely At Random</w:t>
            </w:r>
          </w:p>
        </w:tc>
        <w:tc>
          <w:tcPr>
            <w:tcW w:type="dxa" w:w="3230"/>
            <w:tcW w:w="1701" w:type="dxa"/>
          </w:tcPr>
          <w:p>
            <w:r>
              <w:rPr>
                <w:rFonts w:ascii="Times New Roman" w:hAnsi="Times New Roman"/>
                <w:sz w:val="18"/>
              </w:rPr>
              <w:t>MCAR</w:t>
            </w:r>
          </w:p>
        </w:tc>
      </w:tr>
      <w:tr>
        <w:tc>
          <w:tcPr>
            <w:tcW w:type="dxa" w:w="3230"/>
            <w:tcW w:w="3118" w:type="dxa"/>
          </w:tcPr>
          <w:p>
            <w:r>
              <w:rPr>
                <w:rFonts w:ascii="Times New Roman" w:hAnsi="Times New Roman"/>
                <w:sz w:val="18"/>
              </w:rPr>
              <w:t>Multiple Imputation</w:t>
            </w:r>
          </w:p>
        </w:tc>
        <w:tc>
          <w:tcPr>
            <w:tcW w:type="dxa" w:w="3230"/>
            <w:tcW w:w="4252" w:type="dxa"/>
          </w:tcPr>
          <w:p>
            <w:r>
              <w:rPr>
                <w:rFonts w:ascii="Times New Roman" w:hAnsi="Times New Roman"/>
                <w:sz w:val="18"/>
              </w:rPr>
              <w:t>Multiple Imputation</w:t>
            </w:r>
          </w:p>
        </w:tc>
        <w:tc>
          <w:tcPr>
            <w:tcW w:type="dxa" w:w="3230"/>
            <w:tcW w:w="1701" w:type="dxa"/>
          </w:tcPr>
          <w:p>
            <w:r>
              <w:rPr>
                <w:rFonts w:ascii="Times New Roman" w:hAnsi="Times New Roman"/>
                <w:sz w:val="18"/>
              </w:rPr>
              <w:t>MI</w:t>
            </w:r>
          </w:p>
        </w:tc>
      </w:tr>
      <w:tr>
        <w:tc>
          <w:tcPr>
            <w:tcW w:type="dxa" w:w="3230"/>
            <w:tcW w:w="3118" w:type="dxa"/>
          </w:tcPr>
          <w:p>
            <w:r>
              <w:rPr>
                <w:rFonts w:ascii="Times New Roman" w:hAnsi="Times New Roman"/>
                <w:sz w:val="18"/>
              </w:rPr>
              <w:t>Bảng câu hỏi nuôi dạy con (Alabama)</w:t>
            </w:r>
          </w:p>
        </w:tc>
        <w:tc>
          <w:tcPr>
            <w:tcW w:type="dxa" w:w="3230"/>
            <w:tcW w:w="4252" w:type="dxa"/>
          </w:tcPr>
          <w:p>
            <w:r>
              <w:rPr>
                <w:rFonts w:ascii="Times New Roman" w:hAnsi="Times New Roman"/>
                <w:sz w:val="18"/>
              </w:rPr>
              <w:t>Alabama Parenting Questionnaire</w:t>
            </w:r>
          </w:p>
        </w:tc>
        <w:tc>
          <w:tcPr>
            <w:tcW w:type="dxa" w:w="3230"/>
            <w:tcW w:w="1701" w:type="dxa"/>
          </w:tcPr>
          <w:p>
            <w:r>
              <w:rPr>
                <w:rFonts w:ascii="Times New Roman" w:hAnsi="Times New Roman"/>
                <w:sz w:val="18"/>
              </w:rPr>
              <w:t>APQ</w:t>
            </w:r>
          </w:p>
        </w:tc>
      </w:tr>
      <w:tr>
        <w:tc>
          <w:tcPr>
            <w:tcW w:type="dxa" w:w="3230"/>
            <w:tcW w:w="3118" w:type="dxa"/>
          </w:tcPr>
          <w:p>
            <w:r>
              <w:rPr>
                <w:rFonts w:ascii="Times New Roman" w:hAnsi="Times New Roman"/>
                <w:sz w:val="18"/>
              </w:rPr>
              <w:t>Bảng câu hỏi hành vi xã hội (Tremblay)</w:t>
            </w:r>
          </w:p>
        </w:tc>
        <w:tc>
          <w:tcPr>
            <w:tcW w:type="dxa" w:w="3230"/>
            <w:tcW w:w="4252" w:type="dxa"/>
          </w:tcPr>
          <w:p>
            <w:r>
              <w:rPr>
                <w:rFonts w:ascii="Times New Roman" w:hAnsi="Times New Roman"/>
                <w:sz w:val="18"/>
              </w:rPr>
              <w:t>Social Behavior Questionnaire</w:t>
            </w:r>
          </w:p>
        </w:tc>
        <w:tc>
          <w:tcPr>
            <w:tcW w:type="dxa" w:w="3230"/>
            <w:tcW w:w="1701" w:type="dxa"/>
          </w:tcPr>
          <w:p>
            <w:r>
              <w:rPr>
                <w:rFonts w:ascii="Times New Roman" w:hAnsi="Times New Roman"/>
                <w:sz w:val="18"/>
              </w:rPr>
              <w:t>SBQ</w:t>
            </w:r>
          </w:p>
        </w:tc>
      </w:tr>
    </w:tbl>
    <w:p>
      <w:r>
        <w:rPr>
          <w:rFonts w:ascii="Times New Roman" w:hAnsi="Times New Roman"/>
          <w:b/>
          <w:color w:val="0070C0"/>
          <w:sz w:val="30"/>
        </w:rPr>
        <w:t>PHẦN 1 — DẪN NHẬP (INTRODUCTION)</w:t>
      </w:r>
    </w:p>
    <w:p>
      <w:pPr>
        <w:jc w:val="center"/>
      </w:pPr>
      <w:r>
        <w:rPr>
          <w:rFonts w:ascii="Times New Roman" w:hAnsi="Times New Roman"/>
          <w:b/>
          <w:i/>
          <w:color w:val="E06C00"/>
          <w:sz w:val="22"/>
        </w:rPr>
        <w:t>— — — Trang 1250-1253, Journal of Early Adolescence, Tập 44(9), 2023 — — —</w:t>
      </w:r>
    </w:p>
    <w:p>
      <w:r>
        <w:rPr>
          <w:rFonts w:ascii="Times New Roman" w:hAnsi="Times New Roman"/>
          <w:b/>
          <w:color w:val="0070C0"/>
          <w:sz w:val="26"/>
        </w:rPr>
        <w:t>1.1. Bối cảnh khủng hoảng SKTT thanh thiếu niên</w:t>
      </w:r>
    </w:p>
    <w:p>
      <w:r>
        <w:rPr>
          <w:rFonts w:ascii="Times New Roman" w:hAnsi="Times New Roman"/>
          <w:b w:val="0"/>
          <w:i w:val="0"/>
          <w:sz w:val="24"/>
        </w:rPr>
        <w:t>Tác giả mở đầu nhấn mạnh phản ứng của người trẻ với các sự kiện căng thẳng (quá trình cảm xúc + đánh giá nhận thức) và các phản ứng ứng phó thích nghi đóng vai trò QUAN TRỌNG trong nguy cơ + khả năng phục hồi sức khỏe tâm thần (Horwitz và cộng sự 2011; Vannucci và cộng sự 2018).</w:t>
      </w:r>
    </w:p>
    <w:p>
      <w:r>
        <w:rPr>
          <w:rFonts w:ascii="Times New Roman" w:hAnsi="Times New Roman"/>
          <w:b w:val="0"/>
          <w:i w:val="0"/>
          <w:sz w:val="24"/>
        </w:rPr>
        <w:t>Các chỉ báo căng thẳng tâm lý — sự suy giảm sức khỏe tâm thần (well-being), tuyệt vọng (hopelessness), cảm nhận xáo trộn cuộc sống do tác nhân mới như COVID-19 — báo hiệu nguy cơ SKTT tăng. Ngược lại, các chiến lược ứng phó thích nghi giúp DUY TRÌ hoặc CẢI THIỆN sức khỏe tâm thần dưới căng thẳng.</w:t>
      </w:r>
    </w:p>
    <w:p>
      <w:r>
        <w:rPr>
          <w:rFonts w:ascii="Times New Roman" w:hAnsi="Times New Roman"/>
          <w:b w:val="0"/>
          <w:i w:val="0"/>
          <w:sz w:val="24"/>
        </w:rPr>
        <w:t>Tác giả trích lời cảnh báo về "khủng hoảng SKTT vị thành niên + thanh niên chưa được đảo ngược" (Gunnell và cộng sự 2018; Báo cáo Tổng Y sĩ Hoa Kỳ 2021). Hiểu các tiền đề phát triển của phản ứng căng thẳng và ứng phó là thiết yếu để can thiệp.</w:t>
      </w:r>
    </w:p>
    <w:p>
      <w:r>
        <w:rPr>
          <w:rFonts w:ascii="Times New Roman" w:hAnsi="Times New Roman"/>
          <w:b/>
          <w:color w:val="0070C0"/>
          <w:sz w:val="26"/>
        </w:rPr>
        <w:t>1.2. Bối cảnh COVID-19 ở Thuỵ Sĩ</w:t>
      </w:r>
    </w:p>
    <w:p>
      <w:r>
        <w:rPr>
          <w:rFonts w:ascii="Times New Roman" w:hAnsi="Times New Roman"/>
          <w:b w:val="0"/>
          <w:i w:val="0"/>
          <w:sz w:val="24"/>
        </w:rPr>
        <w:t>Trong đợt phong toả tháng 3/2020 ở Thuỵ Sĩ, các hạn chế bao gồm: cấm tụ tập, đóng cửa đại học + cửa hàng, đóng biên giới, yêu cầu làm việc tại nhà (Kohler và cộng sự 2020). Các hạn chế này XUNG ĐỘT với nhu cầu phát triển của thanh niên: kết nối bạn bè / người yêu, tiến bộ trong giáo dục + sự nghiệp.</w:t>
      </w:r>
    </w:p>
    <w:p>
      <w:r>
        <w:rPr>
          <w:rFonts w:ascii="Times New Roman" w:hAnsi="Times New Roman"/>
          <w:b/>
          <w:color w:val="0070C0"/>
          <w:sz w:val="26"/>
        </w:rPr>
        <w:t>1.3. Khái niệm ứng phó</w:t>
      </w:r>
    </w:p>
    <w:p>
      <w:r>
        <w:rPr>
          <w:rFonts w:ascii="Times New Roman" w:hAnsi="Times New Roman"/>
          <w:b/>
          <w:color w:val="CC0000"/>
          <w:sz w:val="24"/>
        </w:rPr>
        <w:t>Bộ thang đo COPE rút gọn (Brief COPE Inventory — Brief COPE)</w:t>
      </w:r>
    </w:p>
    <w:p>
      <w:r>
        <w:rPr>
          <w:rFonts w:ascii="Times New Roman" w:hAnsi="Times New Roman"/>
          <w:b w:val="0"/>
          <w:i w:val="0"/>
          <w:sz w:val="24"/>
        </w:rPr>
        <w:t>Theo Compas và cộng sự (2017) và Folkman (2012), ứng phó là các chiến lược NHẬN THỨC và HÀNH VI để quản lý các yêu cầu do tác nhân căng thẳng đặt ra — bao gồm nhưng không giới hạn ở việc điều hoà cảm xúc tiêu cực. Chiến lược khác nhau theo NGUỒN (tự túc vs có hỗ trợ xã hội) và TRỌNG TÂM (điều hoà cảm xúc, tạo nghĩa, giải quyết vấn đề).</w:t>
      </w:r>
    </w:p>
    <w:p>
      <w:r>
        <w:rPr>
          <w:rFonts w:ascii="Times New Roman" w:hAnsi="Times New Roman"/>
          <w:b/>
          <w:color w:val="0070C0"/>
          <w:sz w:val="26"/>
        </w:rPr>
        <w:t>1.4. Hai giả thuyết cạnh tranh về sự kiện căng thẳng sớm</w:t>
      </w:r>
    </w:p>
    <w:p>
      <w:r>
        <w:rPr>
          <w:rFonts w:ascii="Times New Roman" w:hAnsi="Times New Roman"/>
          <w:b w:val="0"/>
          <w:i w:val="0"/>
          <w:sz w:val="24"/>
        </w:rPr>
        <w:t>Tác giả đặt vấn đề về 2 giả thuyết cạnh tranh về tác động của các sự kiện căng thẳng đầu đời lên sức đề kháng sau này:</w:t>
      </w:r>
    </w:p>
    <w:p>
      <w:r>
        <w:rPr>
          <w:rFonts w:ascii="Times New Roman" w:hAnsi="Times New Roman"/>
          <w:b w:val="0"/>
          <w:i w:val="0"/>
          <w:sz w:val="24"/>
        </w:rPr>
        <w:t>GIẢ THUYẾT NHẠY CẢM (Sensitization Hypothesis — Rutter 2012): Trải nghiệm căng thẳng tích luỹ ĐẦU ĐỜI làm TĂNG nhạy cảm sinh lý với căng thẳng → tăng tổn thương khi gặp tác nhân căng thẳng MỚI → nội tâm hoá xấu đi (Low và cộng sự 2012).</w:t>
      </w:r>
    </w:p>
    <w:p>
      <w:r>
        <w:rPr>
          <w:rFonts w:ascii="Times New Roman" w:hAnsi="Times New Roman"/>
          <w:b w:val="0"/>
          <w:i w:val="0"/>
          <w:sz w:val="24"/>
        </w:rPr>
        <w:t>GIẢ THUYẾT MIỄN DỊCH TÂM LÝ (Inoculation Hypothesis — Rutter 2012): Việc ĐỐI MẶT THÀNH CÔNG với căng thẳng đầu đời có thể GIẢM nhạy cảm với tác nhân căng thẳng tương lai và MỞ RỘNG kho ứng phó thích nghi (Oldehinkel và cộng sự 2014).</w:t>
      </w:r>
    </w:p>
    <w:p>
      <w:r>
        <w:rPr>
          <w:rFonts w:ascii="Times New Roman" w:hAnsi="Times New Roman"/>
          <w:b/>
          <w:i w:val="0"/>
          <w:sz w:val="24"/>
        </w:rPr>
        <w:t>Đây là một trong những đóng góp lý thuyết QUAN TRỌNG của bài — kiểm định trực tiếp 2 giả thuyết đối lập trên cùng một cohort dài hạn.</w:t>
      </w:r>
    </w:p>
    <w:p>
      <w:r>
        <w:rPr>
          <w:rFonts w:ascii="Times New Roman" w:hAnsi="Times New Roman"/>
          <w:b/>
          <w:color w:val="0070C0"/>
          <w:sz w:val="26"/>
        </w:rPr>
        <w:t>1.5. Vai trò tương tác hỗ trợ cha-mẹ-con</w:t>
      </w:r>
    </w:p>
    <w:p>
      <w:r>
        <w:rPr>
          <w:rFonts w:ascii="Times New Roman" w:hAnsi="Times New Roman"/>
          <w:b w:val="0"/>
          <w:i w:val="0"/>
          <w:sz w:val="24"/>
        </w:rPr>
        <w:t>Tương tác hỗ trợ giữa cha mẹ và con được biết là yếu tố "resilience" (khả năng phục hồi). Cha mẹ phản ứng hỗ trợ với cảm xúc tiêu cực giúp con phát triển điều hoà cảm xúc — nền tảng của ứng phó với tác nhân căng thẳng mới (Perry và cộng sự 2020; Spinrad và cộng sự 2020). Cha mẹ vừa khuyến khích rõ ràng (explicit) vừa làm gương ngầm (implicit) cho các chiến lược ứng phó (Tu và cộng sự 2020). Gia đình hỗ trợ dạy con rằng hỗ trợ xã hội luôn sẵn có — kỹ năng này chuyển sang quan hệ bạn bè / người yêu sau này (Skinner &amp; Zimmer-Gembeck 2007).</w:t>
      </w:r>
    </w:p>
    <w:p>
      <w:r>
        <w:rPr>
          <w:rFonts w:ascii="Times New Roman" w:hAnsi="Times New Roman"/>
          <w:b/>
          <w:color w:val="0070C0"/>
          <w:sz w:val="26"/>
        </w:rPr>
        <w:t>1.6. Mục tiêu nghiên cứu</w:t>
      </w:r>
    </w:p>
    <w:p>
      <w:r>
        <w:rPr>
          <w:rFonts w:ascii="Times New Roman" w:hAnsi="Times New Roman"/>
          <w:b w:val="0"/>
          <w:i w:val="0"/>
          <w:sz w:val="24"/>
        </w:rPr>
        <w:t>Xem xét liệu các yếu tố ở tuổi vị thành niên sớm (13 tuổi) — bao gồm:</w:t>
      </w:r>
    </w:p>
    <w:p>
      <w:r>
        <w:rPr>
          <w:rFonts w:ascii="Times New Roman" w:hAnsi="Times New Roman"/>
          <w:b w:val="0"/>
          <w:i w:val="0"/>
          <w:sz w:val="24"/>
        </w:rPr>
        <w:t>• Triệu chứng nội tâm hoá (anxiety + depression symptoms)</w:t>
      </w:r>
    </w:p>
    <w:p>
      <w:r>
        <w:rPr>
          <w:rFonts w:ascii="Times New Roman" w:hAnsi="Times New Roman"/>
          <w:b w:val="0"/>
          <w:i w:val="0"/>
          <w:sz w:val="24"/>
        </w:rPr>
        <w:t>• Sự kiện căng thẳng tích luỹ (cumulative stressful life events)</w:t>
      </w:r>
    </w:p>
    <w:p>
      <w:r>
        <w:rPr>
          <w:rFonts w:ascii="Times New Roman" w:hAnsi="Times New Roman"/>
          <w:b w:val="0"/>
          <w:i w:val="0"/>
          <w:sz w:val="24"/>
        </w:rPr>
        <w:t>• Tương tác hỗ trợ cha-mẹ-con (supportive parent-child interactions)</w:t>
      </w:r>
    </w:p>
    <w:p>
      <w:r>
        <w:rPr>
          <w:rFonts w:ascii="Times New Roman" w:hAnsi="Times New Roman"/>
          <w:b w:val="0"/>
          <w:i w:val="0"/>
          <w:sz w:val="24"/>
        </w:rPr>
        <w:t>có TIÊN LƯỢNG được căng thẳng tâm lý + ứng phó thích nghi của thanh niên (22 tuổi) trong giai đoạn phong toả COVID-19 đầu tiên ở Thuỵ Sĩ hay không.</w:t>
      </w:r>
    </w:p>
    <w:p>
      <w:pPr>
        <w:jc w:val="center"/>
      </w:pPr>
      <w:r>
        <w:drawing>
          <wp:inline xmlns:a="http://schemas.openxmlformats.org/drawingml/2006/main" xmlns:pic="http://schemas.openxmlformats.org/drawingml/2006/picture">
            <wp:extent cx="5400000" cy="8345455"/>
            <wp:docPr id="1" name="Picture 1"/>
            <wp:cNvGraphicFramePr>
              <a:graphicFrameLocks noChangeAspect="1"/>
            </wp:cNvGraphicFramePr>
            <a:graphic>
              <a:graphicData uri="http://schemas.openxmlformats.org/drawingml/2006/picture">
                <pic:pic>
                  <pic:nvPicPr>
                    <pic:cNvPr id="0" name="Steinhoff_2023_Figure1_conceptual_framework.png"/>
                    <pic:cNvPicPr/>
                  </pic:nvPicPr>
                  <pic:blipFill>
                    <a:blip r:embed="rId9"/>
                    <a:stretch>
                      <a:fillRect/>
                    </a:stretch>
                  </pic:blipFill>
                  <pic:spPr>
                    <a:xfrm>
                      <a:off x="0" y="0"/>
                      <a:ext cx="5400000" cy="8345455"/>
                    </a:xfrm>
                    <a:prstGeom prst="rect"/>
                  </pic:spPr>
                </pic:pic>
              </a:graphicData>
            </a:graphic>
          </wp:inline>
        </w:drawing>
      </w:r>
    </w:p>
    <w:p>
      <w:pPr>
        <w:jc w:val="center"/>
      </w:pPr>
      <w:r>
        <w:rPr>
          <w:rFonts w:ascii="Times New Roman" w:hAnsi="Times New Roman"/>
          <w:b/>
          <w:i/>
          <w:color w:val="E06C00"/>
          <w:sz w:val="20"/>
        </w:rPr>
        <w:t>Hình 1 (trang 6 PDF gốc) — Khung khái niệm: các yếu tố tiên lượng từ tuổi vị thành niên sớm cho căng thẳng tâm lý và ứng phó thích nghi của thanh niên (trích từ Steinhoff và cộng sự 2023, Journal of Early Adolescence, Tập 44(9))</w:t>
      </w:r>
    </w:p>
    <w:p>
      <w:r>
        <w:rPr>
          <w:rFonts w:ascii="Times New Roman" w:hAnsi="Times New Roman"/>
          <w:b/>
          <w:color w:val="0070C0"/>
          <w:sz w:val="30"/>
        </w:rPr>
        <w:t>PHẦN 2 — PHƯƠNG PHÁP (METHODS)</w:t>
      </w:r>
    </w:p>
    <w:p>
      <w:pPr>
        <w:jc w:val="center"/>
      </w:pPr>
      <w:r>
        <w:rPr>
          <w:rFonts w:ascii="Times New Roman" w:hAnsi="Times New Roman"/>
          <w:b/>
          <w:i/>
          <w:color w:val="E06C00"/>
          <w:sz w:val="22"/>
        </w:rPr>
        <w:t>— — — Trang 1253-1257, Journal of Early Adolescence, Tập 44(9), 2023 — — —</w:t>
      </w:r>
    </w:p>
    <w:p>
      <w:r>
        <w:rPr>
          <w:rFonts w:ascii="Times New Roman" w:hAnsi="Times New Roman"/>
          <w:b/>
          <w:color w:val="0070C0"/>
          <w:sz w:val="26"/>
        </w:rPr>
        <w:t>2.1. Cohort z-proso</w:t>
      </w:r>
    </w:p>
    <w:p>
      <w:r>
        <w:rPr>
          <w:rFonts w:ascii="Times New Roman" w:hAnsi="Times New Roman"/>
          <w:b/>
          <w:color w:val="CC0000"/>
          <w:sz w:val="24"/>
        </w:rPr>
        <w:t>Dự án Phát triển Xã hội Zurich (Zurich Project on Social Development from Childhood to Adulthood — z-proso)</w:t>
      </w:r>
    </w:p>
    <w:p>
      <w:r>
        <w:rPr>
          <w:rFonts w:ascii="Times New Roman" w:hAnsi="Times New Roman"/>
          <w:b w:val="0"/>
          <w:i w:val="0"/>
          <w:sz w:val="24"/>
        </w:rPr>
        <w:t>• Mẫu ban đầu: 1.675 trẻ em vào lớp 1 tại 56 trường tiểu học công lập Zurich, năm 2004. Phương pháp lấy mẫu phân tầng ngẫu nhiên có TĂNG TỈ LỆ MẪU ở các quận khó khăn (oversampling of disadvantaged districts).</w:t>
      </w:r>
    </w:p>
    <w:p>
      <w:r>
        <w:rPr>
          <w:rFonts w:ascii="Times New Roman" w:hAnsi="Times New Roman"/>
          <w:b w:val="0"/>
          <w:i w:val="0"/>
          <w:sz w:val="24"/>
        </w:rPr>
        <w:t>• Lịch trình đánh giá:</w:t>
      </w:r>
    </w:p>
    <w:p>
      <w:r>
        <w:rPr>
          <w:rFonts w:ascii="Times New Roman" w:hAnsi="Times New Roman"/>
          <w:b w:val="0"/>
          <w:i w:val="0"/>
          <w:sz w:val="24"/>
        </w:rPr>
        <w:t xml:space="preserve">  - Tuổi 7 (n=1.360) đến tuổi 20 (2018, n=1.180): 8 đợt đánh giá</w:t>
      </w:r>
    </w:p>
    <w:p>
      <w:r>
        <w:rPr>
          <w:rFonts w:ascii="Times New Roman" w:hAnsi="Times New Roman"/>
          <w:b w:val="0"/>
          <w:i w:val="0"/>
          <w:sz w:val="24"/>
        </w:rPr>
        <w:t xml:space="preserve">  - 4 đợt đánh giá thêm tháng 4-9/2020 (giai đoạn đại dịch, ~22 tuổi)</w:t>
      </w:r>
    </w:p>
    <w:p>
      <w:r>
        <w:rPr>
          <w:rFonts w:ascii="Times New Roman" w:hAnsi="Times New Roman"/>
          <w:b w:val="0"/>
          <w:i w:val="0"/>
          <w:sz w:val="24"/>
        </w:rPr>
        <w:t>• Mẫu phân tích chính: n=786 (số người tham gia đợt khảo sát tháng 4/2020)</w:t>
      </w:r>
    </w:p>
    <w:p>
      <w:r>
        <w:rPr>
          <w:rFonts w:ascii="Times New Roman" w:hAnsi="Times New Roman"/>
          <w:b w:val="0"/>
          <w:i w:val="0"/>
          <w:sz w:val="24"/>
        </w:rPr>
        <w:t>• Đợt đánh giá CHÍNH cho phân tích này: tuổi 13 (2011, n=1.365) so với tuổi ~22 (4/2020) — khoảng cách 9 năm</w:t>
      </w:r>
    </w:p>
    <w:p>
      <w:r>
        <w:rPr>
          <w:rFonts w:ascii="Times New Roman" w:hAnsi="Times New Roman"/>
          <w:b/>
          <w:color w:val="0070C0"/>
          <w:sz w:val="26"/>
        </w:rPr>
        <w:t>2.2. Phương pháp khảo sát + đạo đức</w:t>
      </w:r>
    </w:p>
    <w:p>
      <w:r>
        <w:rPr>
          <w:rFonts w:ascii="Times New Roman" w:hAnsi="Times New Roman"/>
          <w:b w:val="0"/>
          <w:i w:val="0"/>
          <w:sz w:val="24"/>
        </w:rPr>
        <w:t>• Tuổi 13: Bảng câu hỏi giấy, làm trong lớp học (~90 phút)</w:t>
      </w:r>
    </w:p>
    <w:p>
      <w:r>
        <w:rPr>
          <w:rFonts w:ascii="Times New Roman" w:hAnsi="Times New Roman"/>
          <w:b w:val="0"/>
          <w:i w:val="0"/>
          <w:sz w:val="24"/>
        </w:rPr>
        <w:t>• Năm 2020: Bảng câu hỏi online (~15-20 phút), thời gian hoàn thành 7 ngày</w:t>
      </w:r>
    </w:p>
    <w:p>
      <w:r>
        <w:rPr>
          <w:rFonts w:ascii="Times New Roman" w:hAnsi="Times New Roman"/>
          <w:b w:val="0"/>
          <w:i w:val="0"/>
          <w:sz w:val="24"/>
        </w:rPr>
        <w:t>• Thưởng: ~30 USD ở tuổi 13; cơ hội trúng giải ~100 USD ở năm 2020</w:t>
      </w:r>
    </w:p>
    <w:p>
      <w:r>
        <w:rPr>
          <w:rFonts w:ascii="Times New Roman" w:hAnsi="Times New Roman"/>
          <w:b w:val="0"/>
          <w:i w:val="0"/>
          <w:sz w:val="24"/>
        </w:rPr>
        <w:t>• Đồng thuận: Văn bản (tuổi 13, có quyền từ chối của cha mẹ); online (tuổi 22)</w:t>
      </w:r>
    </w:p>
    <w:p>
      <w:r>
        <w:rPr>
          <w:rFonts w:ascii="Times New Roman" w:hAnsi="Times New Roman"/>
          <w:b w:val="0"/>
          <w:i w:val="0"/>
          <w:sz w:val="24"/>
        </w:rPr>
        <w:t>• Phê duyệt đạo đức: Hội đồng Đạo đức, Khoa Xã hội &amp; Nhân văn, Đại học Zurich</w:t>
      </w:r>
    </w:p>
    <w:p>
      <w:r>
        <w:rPr>
          <w:rFonts w:ascii="Times New Roman" w:hAnsi="Times New Roman"/>
          <w:b w:val="0"/>
          <w:i w:val="0"/>
          <w:sz w:val="24"/>
        </w:rPr>
        <w:t>• Có áp dụng trọng số mẫu (survey weighting) để suy luận cho mẫu gốc (Nivette và cộng sự 2021)</w:t>
      </w:r>
    </w:p>
    <w:p>
      <w:r>
        <w:rPr>
          <w:rFonts w:ascii="Times New Roman" w:hAnsi="Times New Roman"/>
          <w:b/>
          <w:color w:val="0070C0"/>
          <w:sz w:val="26"/>
        </w:rPr>
        <w:t>2.3. Thang đo (kết quả ở tuổi 22 — đại dịch)</w:t>
      </w:r>
    </w:p>
    <w:p>
      <w:r>
        <w:rPr>
          <w:rFonts w:ascii="Times New Roman" w:hAnsi="Times New Roman"/>
          <w:b/>
          <w:color w:val="0070C0"/>
          <w:sz w:val="24"/>
        </w:rPr>
        <w:t>2.3.1. Đo căng thẳng tâm lý (đầu đại dịch, 4/2020)</w:t>
      </w:r>
    </w:p>
    <w:p>
      <w:r>
        <w:rPr>
          <w:rFonts w:ascii="Times New Roman" w:hAnsi="Times New Roman"/>
          <w:b w:val="0"/>
          <w:i w:val="0"/>
          <w:sz w:val="24"/>
        </w:rPr>
        <w:t>3 mục đo trên thang 10 điểm:</w:t>
      </w:r>
    </w:p>
    <w:p>
      <w:r>
        <w:rPr>
          <w:rFonts w:ascii="Times New Roman" w:hAnsi="Times New Roman"/>
          <w:b w:val="0"/>
          <w:i w:val="0"/>
          <w:sz w:val="24"/>
        </w:rPr>
        <w:t>(1) "Bạn cảm thấy TỆ HƠN hay TỐT HƠN từ khi đại dịch corona bắt đầu?" (1=tệ hơn nhiều → 10=tốt hơn nhiều; mã hoá ngược: cao hơn = tệ hơn)</w:t>
      </w:r>
    </w:p>
    <w:p>
      <w:r>
        <w:rPr>
          <w:rFonts w:ascii="Times New Roman" w:hAnsi="Times New Roman"/>
          <w:b w:val="0"/>
          <w:i w:val="0"/>
          <w:sz w:val="24"/>
        </w:rPr>
        <w:t>(2) "Bạn cảm thấy LẠC QUAN về tương lai đến mức nào?" (1=hoàn toàn không lạc quan → 10=rất lạc quan; mã hoá ngược: cao hơn = tuyệt vọng)</w:t>
      </w:r>
    </w:p>
    <w:p>
      <w:r>
        <w:rPr>
          <w:rFonts w:ascii="Times New Roman" w:hAnsi="Times New Roman"/>
          <w:b w:val="0"/>
          <w:i w:val="0"/>
          <w:sz w:val="24"/>
        </w:rPr>
        <w:t>(3) "Đại dịch đã LÀM XÁO TRỘN cuộc sống của bạn như thế nào, xét về thói quen, công việc, học tập, gia đình?" (1=xáo trộn cao → 10=không xáo trộn; mã hoá ngược: cao hơn = xáo trộn nhiều)</w:t>
      </w:r>
    </w:p>
    <w:p>
      <w:r>
        <w:rPr>
          <w:rFonts w:ascii="Times New Roman" w:hAnsi="Times New Roman"/>
          <w:b/>
          <w:color w:val="0070C0"/>
          <w:sz w:val="24"/>
        </w:rPr>
        <w:t>2.3.2. Đo ứng phó thích nghi (đợt 4/2020)</w:t>
      </w:r>
    </w:p>
    <w:p>
      <w:r>
        <w:rPr>
          <w:rFonts w:ascii="Times New Roman" w:hAnsi="Times New Roman"/>
          <w:b w:val="0"/>
          <w:i w:val="0"/>
          <w:sz w:val="24"/>
        </w:rPr>
        <w:t>Người tham gia báo cáo TẦN SUẤT sử dụng các chiến lược ứng phó trong 2 tuần qua khi gặp căng thẳng (thang 4 điểm: 1=không bao giờ → 4=rất thường xuyên). Các mục bao gồm:</w:t>
      </w:r>
    </w:p>
    <w:p>
      <w:r>
        <w:rPr>
          <w:rFonts w:ascii="Times New Roman" w:hAnsi="Times New Roman"/>
          <w:b w:val="0"/>
          <w:i w:val="0"/>
          <w:sz w:val="24"/>
        </w:rPr>
        <w:t>• Mục đặc thù đại dịch: chấp nhận, đánh giá lại tích cực</w:t>
      </w:r>
    </w:p>
    <w:p>
      <w:r>
        <w:rPr>
          <w:rFonts w:ascii="Times New Roman" w:hAnsi="Times New Roman"/>
          <w:b w:val="0"/>
          <w:i w:val="0"/>
          <w:sz w:val="24"/>
        </w:rPr>
        <w:t>• Mục điều chỉnh từ Carver 1997 (Brief COPE): tự phân tâm, tìm hỗ trợ cảm xúc, duy trì liên lạc</w:t>
      </w:r>
    </w:p>
    <w:p>
      <w:r>
        <w:rPr>
          <w:rFonts w:ascii="Times New Roman" w:hAnsi="Times New Roman"/>
          <w:b w:val="0"/>
          <w:i w:val="0"/>
          <w:sz w:val="24"/>
        </w:rPr>
        <w:t>• Mục tự xây dựng: thói quen hàng ngày, tập thể dục, giúp đỡ hàng xóm, tìm hỗ trợ chuyên môn về SKTT</w:t>
      </w:r>
    </w:p>
    <w:p>
      <w:r>
        <w:rPr>
          <w:rFonts w:ascii="Times New Roman" w:hAnsi="Times New Roman"/>
          <w:b w:val="0"/>
          <w:i w:val="0"/>
          <w:sz w:val="24"/>
        </w:rPr>
        <w:t>Cronbach α tổng = 0,54 (THẤP — phản ánh các chiến lược được đo trong các bối cảnh khác nhau).</w:t>
      </w:r>
    </w:p>
    <w:p>
      <w:r>
        <w:rPr>
          <w:rFonts w:ascii="Times New Roman" w:hAnsi="Times New Roman"/>
          <w:b w:val="0"/>
          <w:i w:val="0"/>
          <w:sz w:val="24"/>
        </w:rPr>
        <w:t>Phương pháp tính tổng điểm: tổng tần suất sử dụng tất cả ứng phó thích nghi (phổ ~4-16, phản ánh sự đa dạng + tần suất trung bình).</w:t>
      </w:r>
    </w:p>
    <w:p>
      <w:r>
        <w:rPr>
          <w:rFonts w:ascii="Times New Roman" w:hAnsi="Times New Roman"/>
          <w:b w:val="0"/>
          <w:i w:val="0"/>
          <w:sz w:val="24"/>
        </w:rPr>
        <w:t>Các thang con: (a) Ứng phó xã hội — tìm hỗ trợ cảm xúc, duy trì liên lạc, giúp đỡ người khác, tìm hỗ trợ chuyên môn; (b) Ứng phó tự túc — tự phân tâm, chấp nhận, đánh giá lại tích cực, thói quen hàng ngày, tập thể dục.</w:t>
      </w:r>
    </w:p>
    <w:p>
      <w:r>
        <w:rPr>
          <w:rFonts w:ascii="Times New Roman" w:hAnsi="Times New Roman"/>
          <w:b/>
          <w:color w:val="0070C0"/>
          <w:sz w:val="26"/>
        </w:rPr>
        <w:t>2.4. Thang đo (yếu tố tiên lượng ở tuổi 13)</w:t>
      </w:r>
    </w:p>
    <w:p>
      <w:r>
        <w:rPr>
          <w:rFonts w:ascii="Times New Roman" w:hAnsi="Times New Roman"/>
          <w:b/>
          <w:color w:val="0070C0"/>
          <w:sz w:val="24"/>
        </w:rPr>
        <w:t>2.4.1. Triệu chứng nội tâm hoá (Internalizing Symptoms)</w:t>
      </w:r>
    </w:p>
    <w:p>
      <w:r>
        <w:rPr>
          <w:rFonts w:ascii="Times New Roman" w:hAnsi="Times New Roman"/>
          <w:b w:val="0"/>
          <w:i w:val="0"/>
          <w:sz w:val="24"/>
        </w:rPr>
        <w:t>8 mục từ Bảng câu hỏi Hành vi Xã hội (Social Behavior Questionnaire — SBQ) của Tremblay và cộng sự 1991: triệu chứng trầm cảm + lo âu (vd: "Tôi cảm thấy buồn không lý do"; "Tôi cảm thấy lo âu"). Thang 5 điểm (1=không bao giờ → 5=rất thường xuyên). Trung bình thang, α = 0,82 (cao hơn = nhiều triệu chứng hơn).</w:t>
      </w:r>
    </w:p>
    <w:p>
      <w:r>
        <w:rPr>
          <w:rFonts w:ascii="Times New Roman" w:hAnsi="Times New Roman"/>
          <w:b/>
          <w:color w:val="0070C0"/>
          <w:sz w:val="24"/>
        </w:rPr>
        <w:t>2.4.2. Sự kiện căng thẳng tích luỹ</w:t>
      </w:r>
    </w:p>
    <w:p>
      <w:r>
        <w:rPr>
          <w:rFonts w:ascii="Times New Roman" w:hAnsi="Times New Roman"/>
          <w:b w:val="0"/>
          <w:i w:val="0"/>
          <w:sz w:val="24"/>
        </w:rPr>
        <w:t>Danh sách 25 sự kiện đời; 21 sự kiện được chọn là liên quan đến căng thẳng (chết người thân/thú cưng, cha mẹ ly thân, nhập viện). Tổng điểm: số sự kiện trải qua giữa tuổi 11-13.</w:t>
      </w:r>
    </w:p>
    <w:p>
      <w:r>
        <w:rPr>
          <w:rFonts w:ascii="Times New Roman" w:hAnsi="Times New Roman"/>
          <w:b/>
          <w:color w:val="0070C0"/>
          <w:sz w:val="24"/>
        </w:rPr>
        <w:t>2.4.3. Tương tác hỗ trợ cha-mẹ-con</w:t>
      </w:r>
    </w:p>
    <w:p>
      <w:r>
        <w:rPr>
          <w:rFonts w:ascii="Times New Roman" w:hAnsi="Times New Roman"/>
          <w:b/>
          <w:color w:val="CC0000"/>
          <w:sz w:val="24"/>
        </w:rPr>
        <w:t>Bảng câu hỏi nuôi dạy con (Alabama) (Alabama Parenting Questionnaire — APQ)</w:t>
      </w:r>
    </w:p>
    <w:p>
      <w:r>
        <w:rPr>
          <w:rFonts w:ascii="Times New Roman" w:hAnsi="Times New Roman"/>
          <w:b w:val="0"/>
          <w:i w:val="0"/>
          <w:sz w:val="24"/>
        </w:rPr>
        <w:t>6 mục từ APQ (Shelton và cộng sự 1996): hỗ trợ cảm xúc / thực tế, hoạt động chung (an ủi, giúp tìm trợ giúp, làm bài tập, nói chuyện / chơi cùng nhau). Thang 4 điểm (1=không bao giờ → 4=rất thường xuyên). Trung bình thang, α = 0,72 (cao hơn = hỗ trợ nhiều hơn).</w:t>
      </w:r>
    </w:p>
    <w:p>
      <w:r>
        <w:rPr>
          <w:rFonts w:ascii="Times New Roman" w:hAnsi="Times New Roman"/>
          <w:b/>
          <w:color w:val="0070C0"/>
          <w:sz w:val="26"/>
        </w:rPr>
        <w:t>2.5. Biến kiểm soát + bối cảnh</w:t>
      </w:r>
    </w:p>
    <w:p>
      <w:r>
        <w:rPr>
          <w:rFonts w:ascii="Times New Roman" w:hAnsi="Times New Roman"/>
          <w:b w:val="0"/>
          <w:i w:val="0"/>
          <w:sz w:val="24"/>
        </w:rPr>
        <w:t>• SES: International Socio-Economic Index (ISEI), phổ 16-90, lấy điểm tối đa giữa tuổi 11-15, đảo ngược (cao hơn = SES thấp hơn)</w:t>
      </w:r>
    </w:p>
    <w:p>
      <w:r>
        <w:rPr>
          <w:rFonts w:ascii="Times New Roman" w:hAnsi="Times New Roman"/>
          <w:b w:val="0"/>
          <w:i w:val="0"/>
          <w:sz w:val="24"/>
        </w:rPr>
        <w:t>• Nguồn gốc di cư cha mẹ: Nhị phân (1 = cả 2 cha mẹ sinh ở nước ngoài; 0 = ≥1 sinh ở Thuỵ Sĩ)</w:t>
      </w:r>
    </w:p>
    <w:p>
      <w:r>
        <w:rPr>
          <w:rFonts w:ascii="Times New Roman" w:hAnsi="Times New Roman"/>
          <w:b w:val="0"/>
          <w:i w:val="0"/>
          <w:sz w:val="24"/>
        </w:rPr>
        <w:t>• Giới tính: Nhị phân (1 = nữ; 0 = nam)</w:t>
      </w:r>
    </w:p>
    <w:p>
      <w:r>
        <w:rPr>
          <w:rFonts w:ascii="Times New Roman" w:hAnsi="Times New Roman"/>
          <w:b w:val="0"/>
          <w:i w:val="0"/>
          <w:sz w:val="24"/>
        </w:rPr>
        <w:t>• Tác nhân căng thẳng tích luỹ liên quan đại dịch (4/2020): tổng 15 sự kiện căng thẳng (sức khỏe: phơi nhiễm COVID-19; kinh tế / giáo dục: mất việc, khó khăn tài chính)</w:t>
      </w:r>
    </w:p>
    <w:p>
      <w:r>
        <w:rPr>
          <w:rFonts w:ascii="Times New Roman" w:hAnsi="Times New Roman"/>
          <w:b/>
          <w:color w:val="0070C0"/>
          <w:sz w:val="26"/>
        </w:rPr>
        <w:t>2.6. Chiến lược phân tích</w:t>
      </w:r>
    </w:p>
    <w:p>
      <w:r>
        <w:rPr>
          <w:rFonts w:ascii="Times New Roman" w:hAnsi="Times New Roman"/>
          <w:b w:val="0"/>
          <w:i w:val="0"/>
          <w:sz w:val="24"/>
        </w:rPr>
        <w:t>Phân tích chính: hồi quy tuyến tính bằng phần mềm MPlus phiên bản 8 với phương pháp ước lượng MLR (Maximum Likelihood with Robust standard errors) — robust với phân phối không chuẩn.</w:t>
      </w:r>
    </w:p>
    <w:p>
      <w:r>
        <w:rPr>
          <w:rFonts w:ascii="Times New Roman" w:hAnsi="Times New Roman"/>
          <w:b w:val="0"/>
          <w:i w:val="0"/>
          <w:sz w:val="24"/>
        </w:rPr>
        <w:t>BƯỚC 1: Mô hình riêng cho từng cặp predictor-outcome (kiểm soát các biến nhân khẩu học)</w:t>
      </w:r>
    </w:p>
    <w:p>
      <w:r>
        <w:rPr>
          <w:rFonts w:ascii="Times New Roman" w:hAnsi="Times New Roman"/>
          <w:b w:val="0"/>
          <w:i w:val="0"/>
          <w:sz w:val="24"/>
        </w:rPr>
        <w:t>BƯỚC 2: Mô hình đầy đủ (cả 3 predictor cùng lúc) + kiểm soát biến nhân khẩu học + tác nhân căng thẳng đại dịch</w:t>
      </w:r>
    </w:p>
    <w:p>
      <w:r>
        <w:rPr>
          <w:rFonts w:ascii="Times New Roman" w:hAnsi="Times New Roman"/>
          <w:b w:val="0"/>
          <w:i w:val="0"/>
          <w:sz w:val="24"/>
        </w:rPr>
        <w:t>Outcomes: 3 chỉ báo căng thẳng tâm lý + tần suất ứng phó thích nghi</w:t>
      </w:r>
    </w:p>
    <w:p>
      <w:r>
        <w:rPr>
          <w:rFonts w:ascii="Times New Roman" w:hAnsi="Times New Roman"/>
          <w:b w:val="0"/>
          <w:i w:val="0"/>
          <w:sz w:val="24"/>
        </w:rPr>
        <w:t>Tác động tương tác (interaction effects): Tương tác 2 chiều giữa từng predictor và tác nhân căng thẳng đại dịch lên căng thẳng tâm lý (đã căn giữa biến — centered)</w:t>
      </w:r>
    </w:p>
    <w:p>
      <w:r>
        <w:rPr>
          <w:rFonts w:ascii="Times New Roman" w:hAnsi="Times New Roman"/>
          <w:b w:val="0"/>
          <w:i w:val="0"/>
          <w:sz w:val="24"/>
        </w:rPr>
        <w:t>Tác động gián tiếp (indirect effects): Mô hình đường dẫn (path models) — predictor ở tuổi 13 → ứng phó thích nghi → căng thẳng tâm lý ở đợt thứ 2 (cuối 4 / đầu 5/2020). Bootstrapped standard errors (1.000 lần lấy mẫu, bias-corrected). Hiệu ứng ứng phó lên căng thẳng tâm lý điều chỉnh cho biến nhân khẩu học + tác nhân đại dịch + căng thẳng tâm lý baseline.</w:t>
      </w:r>
    </w:p>
    <w:p>
      <w:r>
        <w:rPr>
          <w:rFonts w:ascii="Times New Roman" w:hAnsi="Times New Roman"/>
          <w:b w:val="0"/>
          <w:i w:val="0"/>
          <w:sz w:val="24"/>
        </w:rPr>
        <w:t>Xử lý dữ liệu thiếu: 1-2% mất ở biến 4/2020; ~5% ở biến tuổi 13; 18% ở đợt cuối 4/đầu 5/2020 (chủ yếu do bỏ giữa). Kiểm định Little MCAR p = 0,059 (không có ý nghĩa). Phương pháp: Multiple Imputation (Bayesian estimation, 20 datasets).</w:t>
      </w:r>
    </w:p>
    <w:p>
      <w:r>
        <w:rPr>
          <w:rFonts w:ascii="Times New Roman" w:hAnsi="Times New Roman"/>
          <w:b/>
          <w:color w:val="0070C0"/>
          <w:sz w:val="30"/>
        </w:rPr>
        <w:t>PHẦN 3 — KẾT QUẢ (RESULTS)</w:t>
      </w:r>
    </w:p>
    <w:p>
      <w:pPr>
        <w:jc w:val="center"/>
      </w:pPr>
      <w:r>
        <w:rPr>
          <w:rFonts w:ascii="Times New Roman" w:hAnsi="Times New Roman"/>
          <w:b/>
          <w:i/>
          <w:color w:val="E06C00"/>
          <w:sz w:val="22"/>
        </w:rPr>
        <w:t>— — — Trang 1257-1262, Journal of Early Adolescence, Tập 44(9), 2023 — — —</w:t>
      </w:r>
    </w:p>
    <w:p>
      <w:r>
        <w:rPr>
          <w:rFonts w:ascii="Times New Roman" w:hAnsi="Times New Roman"/>
          <w:b/>
          <w:color w:val="0070C0"/>
          <w:sz w:val="26"/>
        </w:rPr>
        <w:t>3.1. Thống kê mô tả mẫu (Bảng 1 — tái tạo, có trọng số)</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969" w:type="dxa"/>
            <w:shd w:fill="D9E2F3" w:val="clear"/>
          </w:tcPr>
          <w:p>
            <w:pPr>
              <w:jc w:val="center"/>
            </w:pPr>
            <w:r>
              <w:rPr>
                <w:rFonts w:ascii="Times New Roman" w:hAnsi="Times New Roman"/>
                <w:b/>
                <w:sz w:val="20"/>
              </w:rPr>
              <w:t>Biến</w:t>
            </w:r>
          </w:p>
        </w:tc>
        <w:tc>
          <w:tcPr>
            <w:tcW w:type="dxa" w:w="3230"/>
            <w:tcW w:w="2268" w:type="dxa"/>
            <w:shd w:fill="D9E2F3" w:val="clear"/>
          </w:tcPr>
          <w:p>
            <w:pPr>
              <w:jc w:val="center"/>
            </w:pPr>
            <w:r>
              <w:rPr>
                <w:rFonts w:ascii="Times New Roman" w:hAnsi="Times New Roman"/>
                <w:b/>
                <w:sz w:val="20"/>
              </w:rPr>
              <w:t>Trung bình (M) hoặc %</w:t>
            </w:r>
          </w:p>
        </w:tc>
        <w:tc>
          <w:tcPr>
            <w:tcW w:type="dxa" w:w="3230"/>
            <w:tcW w:w="2268" w:type="dxa"/>
            <w:shd w:fill="D9E2F3" w:val="clear"/>
          </w:tcPr>
          <w:p>
            <w:pPr>
              <w:jc w:val="center"/>
            </w:pPr>
            <w:r>
              <w:rPr>
                <w:rFonts w:ascii="Times New Roman" w:hAnsi="Times New Roman"/>
                <w:b/>
                <w:sz w:val="20"/>
              </w:rPr>
              <w:t>Sai số chuẩn (SD)</w:t>
            </w:r>
          </w:p>
        </w:tc>
      </w:tr>
      <w:tr>
        <w:tc>
          <w:tcPr>
            <w:tcW w:type="dxa" w:w="3230"/>
            <w:tcW w:w="3969" w:type="dxa"/>
          </w:tcPr>
          <w:p>
            <w:r>
              <w:rPr>
                <w:rFonts w:ascii="Times New Roman" w:hAnsi="Times New Roman"/>
                <w:sz w:val="18"/>
              </w:rPr>
              <w:t>SES thấp (tuổi 13, đảo ngược)</w:t>
            </w:r>
          </w:p>
        </w:tc>
        <w:tc>
          <w:tcPr>
            <w:tcW w:type="dxa" w:w="3230"/>
            <w:tcW w:w="2268" w:type="dxa"/>
          </w:tcPr>
          <w:p>
            <w:r>
              <w:rPr>
                <w:rFonts w:ascii="Times New Roman" w:hAnsi="Times New Roman"/>
                <w:sz w:val="18"/>
              </w:rPr>
              <w:t>M = 43,05</w:t>
            </w:r>
          </w:p>
        </w:tc>
        <w:tc>
          <w:tcPr>
            <w:tcW w:type="dxa" w:w="3230"/>
            <w:tcW w:w="2268" w:type="dxa"/>
          </w:tcPr>
          <w:p>
            <w:r>
              <w:rPr>
                <w:rFonts w:ascii="Times New Roman" w:hAnsi="Times New Roman"/>
                <w:sz w:val="18"/>
              </w:rPr>
              <w:t>SD = 20,02</w:t>
            </w:r>
          </w:p>
        </w:tc>
      </w:tr>
      <w:tr>
        <w:tc>
          <w:tcPr>
            <w:tcW w:type="dxa" w:w="3230"/>
            <w:tcW w:w="3969" w:type="dxa"/>
          </w:tcPr>
          <w:p>
            <w:r>
              <w:rPr>
                <w:rFonts w:ascii="Times New Roman" w:hAnsi="Times New Roman"/>
                <w:sz w:val="18"/>
              </w:rPr>
              <w:t>Cha mẹ di cư (cả 2)</w:t>
            </w:r>
          </w:p>
        </w:tc>
        <w:tc>
          <w:tcPr>
            <w:tcW w:type="dxa" w:w="3230"/>
            <w:tcW w:w="2268" w:type="dxa"/>
          </w:tcPr>
          <w:p>
            <w:r>
              <w:rPr>
                <w:rFonts w:ascii="Times New Roman" w:hAnsi="Times New Roman"/>
                <w:sz w:val="18"/>
              </w:rPr>
              <w:t>48% có</w:t>
            </w:r>
          </w:p>
        </w:tc>
        <w:tc>
          <w:tcPr>
            <w:tcW w:type="dxa" w:w="3230"/>
            <w:tcW w:w="2268" w:type="dxa"/>
          </w:tcPr>
          <w:p>
            <w:r>
              <w:rPr>
                <w:rFonts w:ascii="Times New Roman" w:hAnsi="Times New Roman"/>
                <w:sz w:val="18"/>
              </w:rPr>
              <w:t>—</w:t>
            </w:r>
          </w:p>
        </w:tc>
      </w:tr>
      <w:tr>
        <w:tc>
          <w:tcPr>
            <w:tcW w:type="dxa" w:w="3230"/>
            <w:tcW w:w="3969" w:type="dxa"/>
          </w:tcPr>
          <w:p>
            <w:r>
              <w:rPr>
                <w:rFonts w:ascii="Times New Roman" w:hAnsi="Times New Roman"/>
                <w:sz w:val="18"/>
              </w:rPr>
              <w:t>Nữ</w:t>
            </w:r>
          </w:p>
        </w:tc>
        <w:tc>
          <w:tcPr>
            <w:tcW w:type="dxa" w:w="3230"/>
            <w:tcW w:w="2268" w:type="dxa"/>
          </w:tcPr>
          <w:p>
            <w:r>
              <w:rPr>
                <w:rFonts w:ascii="Times New Roman" w:hAnsi="Times New Roman"/>
                <w:sz w:val="18"/>
              </w:rPr>
              <w:t>48%</w:t>
            </w:r>
          </w:p>
        </w:tc>
        <w:tc>
          <w:tcPr>
            <w:tcW w:type="dxa" w:w="3230"/>
            <w:tcW w:w="2268" w:type="dxa"/>
          </w:tcPr>
          <w:p>
            <w:r>
              <w:rPr>
                <w:rFonts w:ascii="Times New Roman" w:hAnsi="Times New Roman"/>
                <w:sz w:val="18"/>
              </w:rPr>
              <w:t>—</w:t>
            </w:r>
          </w:p>
        </w:tc>
      </w:tr>
      <w:tr>
        <w:tc>
          <w:tcPr>
            <w:tcW w:type="dxa" w:w="3230"/>
            <w:tcW w:w="3969" w:type="dxa"/>
          </w:tcPr>
          <w:p>
            <w:r>
              <w:rPr>
                <w:rFonts w:ascii="Times New Roman" w:hAnsi="Times New Roman"/>
                <w:sz w:val="18"/>
              </w:rPr>
              <w:t>Triệu chứng nội tâm hoá (tuổi 13)</w:t>
            </w:r>
          </w:p>
        </w:tc>
        <w:tc>
          <w:tcPr>
            <w:tcW w:type="dxa" w:w="3230"/>
            <w:tcW w:w="2268" w:type="dxa"/>
          </w:tcPr>
          <w:p>
            <w:r>
              <w:rPr>
                <w:rFonts w:ascii="Times New Roman" w:hAnsi="Times New Roman"/>
                <w:sz w:val="18"/>
              </w:rPr>
              <w:t>M = 2,20</w:t>
            </w:r>
          </w:p>
        </w:tc>
        <w:tc>
          <w:tcPr>
            <w:tcW w:type="dxa" w:w="3230"/>
            <w:tcW w:w="2268" w:type="dxa"/>
          </w:tcPr>
          <w:p>
            <w:r>
              <w:rPr>
                <w:rFonts w:ascii="Times New Roman" w:hAnsi="Times New Roman"/>
                <w:sz w:val="18"/>
              </w:rPr>
              <w:t>SD = 0,72</w:t>
            </w:r>
          </w:p>
        </w:tc>
      </w:tr>
      <w:tr>
        <w:tc>
          <w:tcPr>
            <w:tcW w:type="dxa" w:w="3230"/>
            <w:tcW w:w="3969" w:type="dxa"/>
          </w:tcPr>
          <w:p>
            <w:r>
              <w:rPr>
                <w:rFonts w:ascii="Times New Roman" w:hAnsi="Times New Roman"/>
                <w:sz w:val="18"/>
              </w:rPr>
              <w:t>Sự kiện căng thẳng tích luỹ (tuổi 11-13)</w:t>
            </w:r>
          </w:p>
        </w:tc>
        <w:tc>
          <w:tcPr>
            <w:tcW w:type="dxa" w:w="3230"/>
            <w:tcW w:w="2268" w:type="dxa"/>
          </w:tcPr>
          <w:p>
            <w:r>
              <w:rPr>
                <w:rFonts w:ascii="Times New Roman" w:hAnsi="Times New Roman"/>
                <w:sz w:val="18"/>
              </w:rPr>
              <w:t>M = 2,66</w:t>
            </w:r>
          </w:p>
        </w:tc>
        <w:tc>
          <w:tcPr>
            <w:tcW w:type="dxa" w:w="3230"/>
            <w:tcW w:w="2268" w:type="dxa"/>
          </w:tcPr>
          <w:p>
            <w:r>
              <w:rPr>
                <w:rFonts w:ascii="Times New Roman" w:hAnsi="Times New Roman"/>
                <w:sz w:val="18"/>
              </w:rPr>
              <w:t>SD = 1,82</w:t>
            </w:r>
          </w:p>
        </w:tc>
      </w:tr>
      <w:tr>
        <w:tc>
          <w:tcPr>
            <w:tcW w:type="dxa" w:w="3230"/>
            <w:tcW w:w="3969" w:type="dxa"/>
          </w:tcPr>
          <w:p>
            <w:r>
              <w:rPr>
                <w:rFonts w:ascii="Times New Roman" w:hAnsi="Times New Roman"/>
                <w:sz w:val="18"/>
              </w:rPr>
              <w:t>Tương tác hỗ trợ cha-mẹ-con (tuổi 13)</w:t>
            </w:r>
          </w:p>
        </w:tc>
        <w:tc>
          <w:tcPr>
            <w:tcW w:type="dxa" w:w="3230"/>
            <w:tcW w:w="2268" w:type="dxa"/>
          </w:tcPr>
          <w:p>
            <w:r>
              <w:rPr>
                <w:rFonts w:ascii="Times New Roman" w:hAnsi="Times New Roman"/>
                <w:sz w:val="18"/>
              </w:rPr>
              <w:t>M = 3,09</w:t>
            </w:r>
          </w:p>
        </w:tc>
        <w:tc>
          <w:tcPr>
            <w:tcW w:type="dxa" w:w="3230"/>
            <w:tcW w:w="2268" w:type="dxa"/>
          </w:tcPr>
          <w:p>
            <w:r>
              <w:rPr>
                <w:rFonts w:ascii="Times New Roman" w:hAnsi="Times New Roman"/>
                <w:sz w:val="18"/>
              </w:rPr>
              <w:t>SD = 0,56</w:t>
            </w:r>
          </w:p>
        </w:tc>
      </w:tr>
      <w:tr>
        <w:tc>
          <w:tcPr>
            <w:tcW w:type="dxa" w:w="3230"/>
            <w:tcW w:w="3969" w:type="dxa"/>
          </w:tcPr>
          <w:p>
            <w:r>
              <w:rPr>
                <w:rFonts w:ascii="Times New Roman" w:hAnsi="Times New Roman"/>
                <w:sz w:val="18"/>
              </w:rPr>
              <w:t>Cảm thấy tệ hơn (4/2020, tuổi ~22)</w:t>
            </w:r>
          </w:p>
        </w:tc>
        <w:tc>
          <w:tcPr>
            <w:tcW w:type="dxa" w:w="3230"/>
            <w:tcW w:w="2268" w:type="dxa"/>
          </w:tcPr>
          <w:p>
            <w:r>
              <w:rPr>
                <w:rFonts w:ascii="Times New Roman" w:hAnsi="Times New Roman"/>
                <w:sz w:val="18"/>
              </w:rPr>
              <w:t>M = 5,80</w:t>
            </w:r>
          </w:p>
        </w:tc>
        <w:tc>
          <w:tcPr>
            <w:tcW w:type="dxa" w:w="3230"/>
            <w:tcW w:w="2268" w:type="dxa"/>
          </w:tcPr>
          <w:p>
            <w:r>
              <w:rPr>
                <w:rFonts w:ascii="Times New Roman" w:hAnsi="Times New Roman"/>
                <w:sz w:val="18"/>
              </w:rPr>
              <w:t>SD = 1,48</w:t>
            </w:r>
          </w:p>
        </w:tc>
      </w:tr>
      <w:tr>
        <w:tc>
          <w:tcPr>
            <w:tcW w:type="dxa" w:w="3230"/>
            <w:tcW w:w="3969" w:type="dxa"/>
          </w:tcPr>
          <w:p>
            <w:r>
              <w:rPr>
                <w:rFonts w:ascii="Times New Roman" w:hAnsi="Times New Roman"/>
                <w:sz w:val="18"/>
              </w:rPr>
              <w:t>Tuyệt vọng</w:t>
            </w:r>
          </w:p>
        </w:tc>
        <w:tc>
          <w:tcPr>
            <w:tcW w:type="dxa" w:w="3230"/>
            <w:tcW w:w="2268" w:type="dxa"/>
          </w:tcPr>
          <w:p>
            <w:r>
              <w:rPr>
                <w:rFonts w:ascii="Times New Roman" w:hAnsi="Times New Roman"/>
                <w:sz w:val="18"/>
              </w:rPr>
              <w:t>M = 4,12</w:t>
            </w:r>
          </w:p>
        </w:tc>
        <w:tc>
          <w:tcPr>
            <w:tcW w:type="dxa" w:w="3230"/>
            <w:tcW w:w="2268" w:type="dxa"/>
          </w:tcPr>
          <w:p>
            <w:r>
              <w:rPr>
                <w:rFonts w:ascii="Times New Roman" w:hAnsi="Times New Roman"/>
                <w:sz w:val="18"/>
              </w:rPr>
              <w:t>SD = 2,03</w:t>
            </w:r>
          </w:p>
        </w:tc>
      </w:tr>
      <w:tr>
        <w:tc>
          <w:tcPr>
            <w:tcW w:type="dxa" w:w="3230"/>
            <w:tcW w:w="3969" w:type="dxa"/>
          </w:tcPr>
          <w:p>
            <w:r>
              <w:rPr>
                <w:rFonts w:ascii="Times New Roman" w:hAnsi="Times New Roman"/>
                <w:sz w:val="18"/>
              </w:rPr>
              <w:t>Cảm nhận xáo trộn cuộc sống</w:t>
            </w:r>
          </w:p>
        </w:tc>
        <w:tc>
          <w:tcPr>
            <w:tcW w:type="dxa" w:w="3230"/>
            <w:tcW w:w="2268" w:type="dxa"/>
          </w:tcPr>
          <w:p>
            <w:r>
              <w:rPr>
                <w:rFonts w:ascii="Times New Roman" w:hAnsi="Times New Roman"/>
                <w:sz w:val="18"/>
              </w:rPr>
              <w:t>M = 6,28</w:t>
            </w:r>
          </w:p>
        </w:tc>
        <w:tc>
          <w:tcPr>
            <w:tcW w:type="dxa" w:w="3230"/>
            <w:tcW w:w="2268" w:type="dxa"/>
          </w:tcPr>
          <w:p>
            <w:r>
              <w:rPr>
                <w:rFonts w:ascii="Times New Roman" w:hAnsi="Times New Roman"/>
                <w:sz w:val="18"/>
              </w:rPr>
              <w:t>SD = 2,44</w:t>
            </w:r>
          </w:p>
        </w:tc>
      </w:tr>
      <w:tr>
        <w:tc>
          <w:tcPr>
            <w:tcW w:type="dxa" w:w="3230"/>
            <w:tcW w:w="3969" w:type="dxa"/>
          </w:tcPr>
          <w:p>
            <w:r>
              <w:rPr>
                <w:rFonts w:ascii="Times New Roman" w:hAnsi="Times New Roman"/>
                <w:sz w:val="18"/>
              </w:rPr>
              <w:t>Tần suất ứng phó thích nghi (tổng)</w:t>
            </w:r>
          </w:p>
        </w:tc>
        <w:tc>
          <w:tcPr>
            <w:tcW w:type="dxa" w:w="3230"/>
            <w:tcW w:w="2268" w:type="dxa"/>
          </w:tcPr>
          <w:p>
            <w:r>
              <w:rPr>
                <w:rFonts w:ascii="Times New Roman" w:hAnsi="Times New Roman"/>
                <w:sz w:val="18"/>
              </w:rPr>
              <w:t>M = 21,61</w:t>
            </w:r>
          </w:p>
        </w:tc>
        <w:tc>
          <w:tcPr>
            <w:tcW w:type="dxa" w:w="3230"/>
            <w:tcW w:w="2268" w:type="dxa"/>
          </w:tcPr>
          <w:p>
            <w:r>
              <w:rPr>
                <w:rFonts w:ascii="Times New Roman" w:hAnsi="Times New Roman"/>
                <w:sz w:val="18"/>
              </w:rPr>
              <w:t>SD = 3,61</w:t>
            </w:r>
          </w:p>
        </w:tc>
      </w:tr>
      <w:tr>
        <w:tc>
          <w:tcPr>
            <w:tcW w:type="dxa" w:w="3230"/>
            <w:tcW w:w="3969" w:type="dxa"/>
          </w:tcPr>
          <w:p>
            <w:r>
              <w:rPr>
                <w:rFonts w:ascii="Times New Roman" w:hAnsi="Times New Roman"/>
                <w:sz w:val="18"/>
              </w:rPr>
              <w:t>Tần suất ứng phó thích nghi (trung bình)</w:t>
            </w:r>
          </w:p>
        </w:tc>
        <w:tc>
          <w:tcPr>
            <w:tcW w:type="dxa" w:w="3230"/>
            <w:tcW w:w="2268" w:type="dxa"/>
          </w:tcPr>
          <w:p>
            <w:r>
              <w:rPr>
                <w:rFonts w:ascii="Times New Roman" w:hAnsi="Times New Roman"/>
                <w:sz w:val="18"/>
              </w:rPr>
              <w:t>M = 2,40</w:t>
            </w:r>
          </w:p>
        </w:tc>
        <w:tc>
          <w:tcPr>
            <w:tcW w:type="dxa" w:w="3230"/>
            <w:tcW w:w="2268" w:type="dxa"/>
          </w:tcPr>
          <w:p>
            <w:r>
              <w:rPr>
                <w:rFonts w:ascii="Times New Roman" w:hAnsi="Times New Roman"/>
                <w:sz w:val="18"/>
              </w:rPr>
              <w:t>SD = 0,40</w:t>
            </w:r>
          </w:p>
        </w:tc>
      </w:tr>
      <w:tr>
        <w:tc>
          <w:tcPr>
            <w:tcW w:type="dxa" w:w="3230"/>
            <w:tcW w:w="3969" w:type="dxa"/>
          </w:tcPr>
          <w:p>
            <w:r>
              <w:rPr>
                <w:rFonts w:ascii="Times New Roman" w:hAnsi="Times New Roman"/>
                <w:sz w:val="18"/>
              </w:rPr>
              <w:t>Tác nhân căng thẳng đại dịch tích luỹ</w:t>
            </w:r>
          </w:p>
        </w:tc>
        <w:tc>
          <w:tcPr>
            <w:tcW w:type="dxa" w:w="3230"/>
            <w:tcW w:w="2268" w:type="dxa"/>
          </w:tcPr>
          <w:p>
            <w:r>
              <w:rPr>
                <w:rFonts w:ascii="Times New Roman" w:hAnsi="Times New Roman"/>
                <w:sz w:val="18"/>
              </w:rPr>
              <w:t>M = 0,92</w:t>
            </w:r>
          </w:p>
        </w:tc>
        <w:tc>
          <w:tcPr>
            <w:tcW w:type="dxa" w:w="3230"/>
            <w:tcW w:w="2268" w:type="dxa"/>
          </w:tcPr>
          <w:p>
            <w:r>
              <w:rPr>
                <w:rFonts w:ascii="Times New Roman" w:hAnsi="Times New Roman"/>
                <w:sz w:val="18"/>
              </w:rPr>
              <w:t>SD = 1,13</w:t>
            </w:r>
          </w:p>
        </w:tc>
      </w:tr>
    </w:tbl>
    <w:p>
      <w:r>
        <w:rPr>
          <w:rFonts w:ascii="Times New Roman" w:hAnsi="Times New Roman"/>
          <w:b/>
          <w:color w:val="0070C0"/>
          <w:sz w:val="26"/>
        </w:rPr>
        <w:t>3.2. Tương quan chính (mức ý nghĩa thống kê)</w:t>
      </w:r>
    </w:p>
    <w:p>
      <w:r>
        <w:rPr>
          <w:rFonts w:ascii="Times New Roman" w:hAnsi="Times New Roman"/>
          <w:b w:val="0"/>
          <w:i w:val="0"/>
          <w:sz w:val="24"/>
        </w:rPr>
        <w:t>• Triệu chứng nội tâm hoá ↔ tuyệt vọng: r = 0,14 (p&lt;0,001)</w:t>
      </w:r>
    </w:p>
    <w:p>
      <w:r>
        <w:rPr>
          <w:rFonts w:ascii="Times New Roman" w:hAnsi="Times New Roman"/>
          <w:b w:val="0"/>
          <w:i w:val="0"/>
          <w:sz w:val="24"/>
        </w:rPr>
        <w:t>• Triệu chứng nội tâm hoá ↔ xáo trộn cuộc sống: r = 0,12 (p&lt;0,01)</w:t>
      </w:r>
    </w:p>
    <w:p>
      <w:r>
        <w:rPr>
          <w:rFonts w:ascii="Times New Roman" w:hAnsi="Times New Roman"/>
          <w:b w:val="0"/>
          <w:i w:val="0"/>
          <w:sz w:val="24"/>
        </w:rPr>
        <w:t>• Tương tác hỗ trợ ↔ ứng phó thích nghi: r = 0,20 (p&lt;0,001) — TƯƠNG QUAN MẠNH NHẤT</w:t>
      </w:r>
    </w:p>
    <w:p>
      <w:r>
        <w:rPr>
          <w:rFonts w:ascii="Times New Roman" w:hAnsi="Times New Roman"/>
          <w:b w:val="0"/>
          <w:i w:val="0"/>
          <w:sz w:val="24"/>
        </w:rPr>
        <w:t>• Ứng phó thích nghi ↔ cảm thấy tệ hơn: r = −0,15 (p&lt;0,001)</w:t>
      </w:r>
    </w:p>
    <w:p>
      <w:r>
        <w:rPr>
          <w:rFonts w:ascii="Times New Roman" w:hAnsi="Times New Roman"/>
          <w:b w:val="0"/>
          <w:i w:val="0"/>
          <w:sz w:val="24"/>
        </w:rPr>
        <w:t>• Ứng phó thích nghi ↔ tuyệt vọng: r = −0,14 (p&lt;0,001)</w:t>
      </w:r>
    </w:p>
    <w:p>
      <w:r>
        <w:rPr>
          <w:rFonts w:ascii="Times New Roman" w:hAnsi="Times New Roman"/>
          <w:b w:val="0"/>
          <w:i w:val="0"/>
          <w:sz w:val="24"/>
        </w:rPr>
        <w:t>• Tác nhân đại dịch ↔ xáo trộn cuộc sống: r = 0,14 (p&lt;0,001)</w:t>
      </w:r>
    </w:p>
    <w:p>
      <w:r>
        <w:rPr>
          <w:rFonts w:ascii="Times New Roman" w:hAnsi="Times New Roman"/>
          <w:b/>
          <w:color w:val="0070C0"/>
          <w:sz w:val="26"/>
        </w:rPr>
        <w:t>3.3. Yếu tố tiên lượng tuổi 13 → căng thẳng tâm lý tuổi 22 (Bảng 2)</w:t>
      </w:r>
    </w:p>
    <w:p>
      <w:r>
        <w:rPr>
          <w:rFonts w:ascii="Times New Roman" w:hAnsi="Times New Roman"/>
          <w:b/>
          <w:color w:val="0070C0"/>
          <w:sz w:val="24"/>
        </w:rPr>
        <w:t>3.3.1. Outcome: Cảm thấy tệ hơn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 (β, p)</w:t>
            </w:r>
          </w:p>
        </w:tc>
        <w:tc>
          <w:tcPr>
            <w:tcW w:type="dxa" w:w="3230"/>
            <w:tcW w:w="2835" w:type="dxa"/>
            <w:shd w:fill="D9E2F3" w:val="clear"/>
          </w:tcPr>
          <w:p>
            <w:pPr>
              <w:jc w:val="center"/>
            </w:pPr>
            <w:r>
              <w:rPr>
                <w:rFonts w:ascii="Times New Roman" w:hAnsi="Times New Roman"/>
                <w:b/>
                <w:sz w:val="20"/>
              </w:rPr>
              <w:t>Mô hình đầy đủ (β, p)</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β=0,10, p=0,014*</w:t>
            </w:r>
          </w:p>
        </w:tc>
        <w:tc>
          <w:tcPr>
            <w:tcW w:type="dxa" w:w="3230"/>
            <w:tcW w:w="2835" w:type="dxa"/>
          </w:tcPr>
          <w:p>
            <w:r>
              <w:rPr>
                <w:rFonts w:ascii="Times New Roman" w:hAnsi="Times New Roman"/>
                <w:sz w:val="18"/>
              </w:rPr>
              <w:t>β=0,09, p=0,042*</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β=0,06, p=0,155 ns</w:t>
            </w:r>
          </w:p>
        </w:tc>
        <w:tc>
          <w:tcPr>
            <w:tcW w:type="dxa" w:w="3230"/>
            <w:tcW w:w="2835" w:type="dxa"/>
          </w:tcPr>
          <w:p>
            <w:r>
              <w:rPr>
                <w:rFonts w:ascii="Times New Roman" w:hAnsi="Times New Roman"/>
                <w:sz w:val="18"/>
              </w:rPr>
              <w:t>β=0,04, p=0,405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β=−0,03, p=0,487 ns</w:t>
            </w:r>
          </w:p>
        </w:tc>
        <w:tc>
          <w:tcPr>
            <w:tcW w:type="dxa" w:w="3230"/>
            <w:tcW w:w="2835" w:type="dxa"/>
          </w:tcPr>
          <w:p>
            <w:r>
              <w:rPr>
                <w:rFonts w:ascii="Times New Roman" w:hAnsi="Times New Roman"/>
                <w:sz w:val="18"/>
              </w:rPr>
              <w:t>β=0,00, p=0,963 ns</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β=0,03, p=0,422 ns</w:t>
            </w:r>
          </w:p>
        </w:tc>
      </w:tr>
    </w:tbl>
    <w:p>
      <w:r>
        <w:rPr>
          <w:rFonts w:ascii="Times New Roman" w:hAnsi="Times New Roman"/>
          <w:b/>
          <w:color w:val="0070C0"/>
          <w:sz w:val="24"/>
        </w:rPr>
        <w:t>3.3.2. Outcome: Tuyệt vọng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β=0,10, p=0,010**</w:t>
            </w:r>
          </w:p>
        </w:tc>
        <w:tc>
          <w:tcPr>
            <w:tcW w:type="dxa" w:w="3230"/>
            <w:tcW w:w="2835" w:type="dxa"/>
          </w:tcPr>
          <w:p>
            <w:r>
              <w:rPr>
                <w:rFonts w:ascii="Times New Roman" w:hAnsi="Times New Roman"/>
                <w:sz w:val="18"/>
              </w:rPr>
              <w:t>β=0,11, p=0,011*</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β=−0,02, p=0,611 ns</w:t>
            </w:r>
          </w:p>
        </w:tc>
        <w:tc>
          <w:tcPr>
            <w:tcW w:type="dxa" w:w="3230"/>
            <w:tcW w:w="2835" w:type="dxa"/>
          </w:tcPr>
          <w:p>
            <w:r>
              <w:rPr>
                <w:rFonts w:ascii="Times New Roman" w:hAnsi="Times New Roman"/>
                <w:sz w:val="18"/>
              </w:rPr>
              <w:t>β=−0,05, p=0,256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β=−0,06, p=0,188 ns</w:t>
            </w:r>
          </w:p>
        </w:tc>
        <w:tc>
          <w:tcPr>
            <w:tcW w:type="dxa" w:w="3230"/>
            <w:tcW w:w="2835" w:type="dxa"/>
          </w:tcPr>
          <w:p>
            <w:r>
              <w:rPr>
                <w:rFonts w:ascii="Times New Roman" w:hAnsi="Times New Roman"/>
                <w:sz w:val="18"/>
              </w:rPr>
              <w:t>β=−0,04, p=0,387 ns</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β=0,13, p&lt;0,001***</w:t>
            </w:r>
          </w:p>
        </w:tc>
        <w:tc>
          <w:tcPr>
            <w:tcW w:type="dxa" w:w="3230"/>
            <w:tcW w:w="2835" w:type="dxa"/>
          </w:tcPr>
          <w:p>
            <w:r>
              <w:rPr>
                <w:rFonts w:ascii="Times New Roman" w:hAnsi="Times New Roman"/>
                <w:sz w:val="18"/>
              </w:rPr>
              <w:t>β=0,10, p=0,007**</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β=−0,01, p=0,882 ns</w:t>
            </w:r>
          </w:p>
        </w:tc>
      </w:tr>
    </w:tbl>
    <w:p>
      <w:r>
        <w:rPr>
          <w:rFonts w:ascii="Times New Roman" w:hAnsi="Times New Roman"/>
          <w:b/>
          <w:color w:val="0070C0"/>
          <w:sz w:val="24"/>
        </w:rPr>
        <w:t>3.3.3. Outcome: Xáo trộn cuộc sống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β=0,09, p=0,020*</w:t>
            </w:r>
          </w:p>
        </w:tc>
        <w:tc>
          <w:tcPr>
            <w:tcW w:type="dxa" w:w="3230"/>
            <w:tcW w:w="2835" w:type="dxa"/>
          </w:tcPr>
          <w:p>
            <w:r>
              <w:rPr>
                <w:rFonts w:ascii="Times New Roman" w:hAnsi="Times New Roman"/>
                <w:sz w:val="18"/>
              </w:rPr>
              <w:t>β=0,09, p=0,027*</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β=0,03, p=0,507 ns</w:t>
            </w:r>
          </w:p>
        </w:tc>
        <w:tc>
          <w:tcPr>
            <w:tcW w:type="dxa" w:w="3230"/>
            <w:tcW w:w="2835" w:type="dxa"/>
          </w:tcPr>
          <w:p>
            <w:r>
              <w:rPr>
                <w:rFonts w:ascii="Times New Roman" w:hAnsi="Times New Roman"/>
                <w:sz w:val="18"/>
              </w:rPr>
              <w:t>β=0,00, p=0,976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β=0,04, p=0,320 ns</w:t>
            </w:r>
          </w:p>
        </w:tc>
        <w:tc>
          <w:tcPr>
            <w:tcW w:type="dxa" w:w="3230"/>
            <w:tcW w:w="2835" w:type="dxa"/>
          </w:tcPr>
          <w:p>
            <w:r>
              <w:rPr>
                <w:rFonts w:ascii="Times New Roman" w:hAnsi="Times New Roman"/>
                <w:sz w:val="18"/>
              </w:rPr>
              <w:t>β=0,08, p=0,062 (gần ý nghĩa)</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β=0,12, p=0,001**</w:t>
            </w:r>
          </w:p>
        </w:tc>
        <w:tc>
          <w:tcPr>
            <w:tcW w:type="dxa" w:w="3230"/>
            <w:tcW w:w="2835" w:type="dxa"/>
          </w:tcPr>
          <w:p>
            <w:r>
              <w:rPr>
                <w:rFonts w:ascii="Times New Roman" w:hAnsi="Times New Roman"/>
                <w:sz w:val="18"/>
              </w:rPr>
              <w:t>β=0,09, p=0,023*</w:t>
            </w:r>
          </w:p>
        </w:tc>
      </w:tr>
      <w:tr>
        <w:tc>
          <w:tcPr>
            <w:tcW w:type="dxa" w:w="3230"/>
            <w:tcW w:w="3118" w:type="dxa"/>
          </w:tcPr>
          <w:p>
            <w:r>
              <w:rPr>
                <w:rFonts w:ascii="Times New Roman" w:hAnsi="Times New Roman"/>
                <w:sz w:val="18"/>
              </w:rPr>
              <w:t>SES thấp</w:t>
            </w:r>
          </w:p>
        </w:tc>
        <w:tc>
          <w:tcPr>
            <w:tcW w:type="dxa" w:w="3230"/>
            <w:tcW w:w="2835" w:type="dxa"/>
          </w:tcPr>
          <w:p>
            <w:r>
              <w:rPr>
                <w:rFonts w:ascii="Times New Roman" w:hAnsi="Times New Roman"/>
                <w:sz w:val="18"/>
              </w:rPr>
              <w:t>β=−0,10, p=0,026*</w:t>
            </w:r>
          </w:p>
        </w:tc>
        <w:tc>
          <w:tcPr>
            <w:tcW w:type="dxa" w:w="3230"/>
            <w:tcW w:w="2835" w:type="dxa"/>
          </w:tcPr>
          <w:p>
            <w:r>
              <w:rPr>
                <w:rFonts w:ascii="Times New Roman" w:hAnsi="Times New Roman"/>
                <w:sz w:val="18"/>
              </w:rPr>
              <w:t>β=−0,09, p=0,056 (gần ý nghĩa)</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β=0,15, p&lt;0,001***</w:t>
            </w:r>
          </w:p>
        </w:tc>
        <w:tc>
          <w:tcPr>
            <w:tcW w:type="dxa" w:w="3230"/>
            <w:tcW w:w="2835" w:type="dxa"/>
          </w:tcPr>
          <w:p>
            <w:r>
              <w:rPr>
                <w:rFonts w:ascii="Times New Roman" w:hAnsi="Times New Roman"/>
                <w:sz w:val="18"/>
              </w:rPr>
              <w:t>β=0,15, p&lt;0,001***</w:t>
            </w:r>
          </w:p>
        </w:tc>
      </w:tr>
    </w:tbl>
    <w:p>
      <w:r>
        <w:rPr>
          <w:rFonts w:ascii="Times New Roman" w:hAnsi="Times New Roman"/>
          <w:b/>
          <w:i w:val="0"/>
          <w:color w:val="0070C0"/>
          <w:sz w:val="24"/>
        </w:rPr>
        <w:t>PHÁT HIỆN 1 — Triệu chứng nội tâm hoá tuổi 13 → căng thẳng tâm lý tuổi 22:</w:t>
      </w:r>
    </w:p>
    <w:p>
      <w:r>
        <w:rPr>
          <w:rFonts w:ascii="Times New Roman" w:hAnsi="Times New Roman"/>
          <w:b/>
          <w:i w:val="0"/>
          <w:sz w:val="24"/>
        </w:rPr>
        <w:t>Triệu chứng nội tâm hoá ở tuổi 13 NHẤT QUÁN tiên lượng cả 3 chỉ báo căng thẳng tâm lý 9 năm sau (β = 0,09-0,11; p &lt; 0,05). Đây là bằng chứng vững chắc cho "liên tục SKTT" theo thời gian (Copeland và cộng sự 2009).</w:t>
      </w:r>
    </w:p>
    <w:p>
      <w:r>
        <w:rPr>
          <w:rFonts w:ascii="Times New Roman" w:hAnsi="Times New Roman"/>
          <w:b/>
          <w:color w:val="0070C0"/>
          <w:sz w:val="26"/>
        </w:rPr>
        <w:t>3.4. Tác động tương tác — Bằng chứng cho giả thuyết MIỄN DỊCH TÂM LÝ</w:t>
      </w:r>
    </w:p>
    <w:p>
      <w:r>
        <w:rPr>
          <w:rFonts w:ascii="Times New Roman" w:hAnsi="Times New Roman"/>
          <w:b w:val="0"/>
          <w:i w:val="0"/>
          <w:sz w:val="24"/>
        </w:rPr>
        <w:t>Tác động tương tác có ý nghĩa duy nhất: Sự kiện căng thẳng tích luỹ × Tác nhân đại dịch lên xáo trộn cuộc sống: β = −0,11, p = 0,003**.</w:t>
      </w:r>
    </w:p>
    <w:p>
      <w:r>
        <w:rPr>
          <w:rFonts w:ascii="Times New Roman" w:hAnsi="Times New Roman"/>
          <w:b w:val="0"/>
          <w:i w:val="0"/>
          <w:sz w:val="24"/>
        </w:rPr>
        <w:t>DIỄN GIẢI: Tác động của tác nhân đại dịch lên cảm nhận xáo trộn GIẢM khi số sự kiện căng thẳng ở tuổi 13 TĂNG. Trong số những người trải qua ≥1,5 sự kiện căng thẳng trên trung bình ở tuổi vị thành niên sớm, tác nhân đại dịch KHÔNG còn liên quan có ý nghĩa với xáo trộn (KTC 95% bao gồm 0).</w:t>
      </w:r>
    </w:p>
    <w:p>
      <w:r>
        <w:rPr>
          <w:rFonts w:ascii="Times New Roman" w:hAnsi="Times New Roman"/>
          <w:b/>
          <w:i w:val="0"/>
          <w:color w:val="0070C0"/>
          <w:sz w:val="24"/>
        </w:rPr>
        <w:t>→ ỦNG HỘ GIẢ THUYẾT MIỄN DỊCH TÂM LÝ (Inoculation Hypothesis): trải qua khó khăn ở mức độ vừa phải khi còn vị thành niên có thể "tiêm vaccine" cho khả năng đối phó với khủng hoảng lớn sau này. Đây là phát hiện ĐẶC BIỆT QUAN TRỌNG và phản trực giác.</w:t>
      </w:r>
    </w:p>
    <w:p>
      <w:r>
        <w:rPr>
          <w:rFonts w:ascii="Times New Roman" w:hAnsi="Times New Roman"/>
          <w:b w:val="0"/>
          <w:i w:val="0"/>
          <w:sz w:val="24"/>
        </w:rPr>
        <w:t>Các tác động tương tác khác: KHÔNG có ý nghĩa thống kê.</w:t>
      </w:r>
    </w:p>
    <w:p>
      <w:r>
        <w:rPr>
          <w:rFonts w:ascii="Times New Roman" w:hAnsi="Times New Roman"/>
          <w:b/>
          <w:color w:val="0070C0"/>
          <w:sz w:val="26"/>
        </w:rPr>
        <w:t>3.5. Yếu tố tiên lượng tuổi 13 → ứng phó thích nghi tuổi 22</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β=−0,06, p=0,115 ns</w:t>
            </w:r>
          </w:p>
        </w:tc>
        <w:tc>
          <w:tcPr>
            <w:tcW w:type="dxa" w:w="3230"/>
            <w:tcW w:w="2835" w:type="dxa"/>
          </w:tcPr>
          <w:p>
            <w:r>
              <w:rPr>
                <w:rFonts w:ascii="Times New Roman" w:hAnsi="Times New Roman"/>
                <w:sz w:val="18"/>
              </w:rPr>
              <w:t>β=−0,04, p=0,311 ns</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β=0,01, p=0,783 ns</w:t>
            </w:r>
          </w:p>
        </w:tc>
        <w:tc>
          <w:tcPr>
            <w:tcW w:type="dxa" w:w="3230"/>
            <w:tcW w:w="2835" w:type="dxa"/>
          </w:tcPr>
          <w:p>
            <w:r>
              <w:rPr>
                <w:rFonts w:ascii="Times New Roman" w:hAnsi="Times New Roman"/>
                <w:sz w:val="18"/>
              </w:rPr>
              <w:t>β=0,03, p=0,511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β=0,14, p&lt;0,001***</w:t>
            </w:r>
          </w:p>
        </w:tc>
        <w:tc>
          <w:tcPr>
            <w:tcW w:type="dxa" w:w="3230"/>
            <w:tcW w:w="2835" w:type="dxa"/>
          </w:tcPr>
          <w:p>
            <w:r>
              <w:rPr>
                <w:rFonts w:ascii="Times New Roman" w:hAnsi="Times New Roman"/>
                <w:sz w:val="18"/>
              </w:rPr>
              <w:t>β=0,14, p=0,001**</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β=0,20, p&lt;0,001***</w:t>
            </w:r>
          </w:p>
        </w:tc>
        <w:tc>
          <w:tcPr>
            <w:tcW w:type="dxa" w:w="3230"/>
            <w:tcW w:w="2835" w:type="dxa"/>
          </w:tcPr>
          <w:p>
            <w:r>
              <w:rPr>
                <w:rFonts w:ascii="Times New Roman" w:hAnsi="Times New Roman"/>
                <w:sz w:val="18"/>
              </w:rPr>
              <w:t>β=0,20, p&lt;0,001***</w:t>
            </w:r>
          </w:p>
        </w:tc>
      </w:tr>
      <w:tr>
        <w:tc>
          <w:tcPr>
            <w:tcW w:type="dxa" w:w="3230"/>
            <w:tcW w:w="3118" w:type="dxa"/>
          </w:tcPr>
          <w:p>
            <w:r>
              <w:rPr>
                <w:rFonts w:ascii="Times New Roman" w:hAnsi="Times New Roman"/>
                <w:sz w:val="18"/>
              </w:rPr>
              <w:t>SES thấp</w:t>
            </w:r>
          </w:p>
        </w:tc>
        <w:tc>
          <w:tcPr>
            <w:tcW w:type="dxa" w:w="3230"/>
            <w:tcW w:w="2835" w:type="dxa"/>
          </w:tcPr>
          <w:p>
            <w:r>
              <w:rPr>
                <w:rFonts w:ascii="Times New Roman" w:hAnsi="Times New Roman"/>
                <w:sz w:val="18"/>
              </w:rPr>
              <w:t>β=−0,18, p&lt;0,001***</w:t>
            </w:r>
          </w:p>
        </w:tc>
        <w:tc>
          <w:tcPr>
            <w:tcW w:type="dxa" w:w="3230"/>
            <w:tcW w:w="2835" w:type="dxa"/>
          </w:tcPr>
          <w:p>
            <w:r>
              <w:rPr>
                <w:rFonts w:ascii="Times New Roman" w:hAnsi="Times New Roman"/>
                <w:sz w:val="18"/>
              </w:rPr>
              <w:t>β=−0,15, p&lt;0,001***</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β=0,05, p=0,293 ns</w:t>
            </w:r>
          </w:p>
        </w:tc>
      </w:tr>
    </w:tbl>
    <w:p>
      <w:r>
        <w:rPr>
          <w:rFonts w:ascii="Times New Roman" w:hAnsi="Times New Roman"/>
          <w:b/>
          <w:i w:val="0"/>
          <w:color w:val="0070C0"/>
          <w:sz w:val="24"/>
        </w:rPr>
        <w:t>PHÁT HIỆN 2 — TƯƠNG TÁC HỖ TRỢ tuổi 13 → ứng phó thích nghi tuổi 22:</w:t>
      </w:r>
    </w:p>
    <w:p>
      <w:r>
        <w:rPr>
          <w:rFonts w:ascii="Times New Roman" w:hAnsi="Times New Roman"/>
          <w:b/>
          <w:i w:val="0"/>
          <w:sz w:val="24"/>
        </w:rPr>
        <w:t>Tương tác hỗ trợ cha-mẹ-con tuổi 13 NHẤT QUÁN tiên lượng tần suất ứng phó thích nghi 9 năm sau (β = 0,14, p &lt; 0,001). Đặc biệt, hiệu ứng còn KÉO DÀI sau khi kiểm soát biến nhân khẩu học + tác nhân đại dịch — chứng tỏ tác động ĐỘC LẬP và LÂU DÀI.</w:t>
      </w:r>
    </w:p>
    <w:p>
      <w:r>
        <w:rPr>
          <w:rFonts w:ascii="Times New Roman" w:hAnsi="Times New Roman"/>
          <w:b w:val="0"/>
          <w:i w:val="0"/>
          <w:sz w:val="24"/>
        </w:rPr>
        <w:t>Phát hiện thú vị: Triệu chứng nội tâm hoá KHÔNG tiên lượng việc DÙNG ÍT ứng phó thích nghi — gợi ý vị thành niên có triệu chứng nội tâm hoá VẪN có thể dùng ứng phó thích nghi (đồng thời cũng dùng ứng phó không thích nghi).</w:t>
      </w:r>
    </w:p>
    <w:p>
      <w:r>
        <w:rPr>
          <w:rFonts w:ascii="Times New Roman" w:hAnsi="Times New Roman"/>
          <w:b/>
          <w:color w:val="0070C0"/>
          <w:sz w:val="26"/>
        </w:rPr>
        <w:t>3.6. Chiến lược ứng phó cụ thể nào được tương tác hỗ trợ tiên lượng?</w:t>
      </w:r>
    </w:p>
    <w:p>
      <w:r>
        <w:rPr>
          <w:rFonts w:ascii="Times New Roman" w:hAnsi="Times New Roman"/>
          <w:b w:val="0"/>
          <w:i w:val="0"/>
          <w:sz w:val="24"/>
        </w:rPr>
        <w:t>Phân tích chi tiết từng chiến lược (Bảng 3):</w:t>
      </w:r>
    </w:p>
    <w:p>
      <w:r>
        <w:rPr>
          <w:rFonts w:ascii="Times New Roman" w:hAnsi="Times New Roman"/>
          <w:b w:val="0"/>
          <w:i w:val="0"/>
          <w:sz w:val="24"/>
        </w:rPr>
        <w:t>ỨNG PHÓ XÃ HỘI:</w:t>
      </w:r>
    </w:p>
    <w:p>
      <w:r>
        <w:rPr>
          <w:rFonts w:ascii="Times New Roman" w:hAnsi="Times New Roman"/>
          <w:b w:val="0"/>
          <w:i w:val="0"/>
          <w:sz w:val="24"/>
        </w:rPr>
        <w:t>• Tìm hỗ trợ cảm xúc: β = 0,11 (p=0,002**)</w:t>
      </w:r>
    </w:p>
    <w:p>
      <w:r>
        <w:rPr>
          <w:rFonts w:ascii="Times New Roman" w:hAnsi="Times New Roman"/>
          <w:b w:val="0"/>
          <w:i w:val="0"/>
          <w:sz w:val="24"/>
        </w:rPr>
        <w:t>• Duy trì liên lạc với gia đình + bạn bè: β = 0,11 (p=0,012*)</w:t>
      </w:r>
    </w:p>
    <w:p>
      <w:r>
        <w:rPr>
          <w:rFonts w:ascii="Times New Roman" w:hAnsi="Times New Roman"/>
          <w:b w:val="0"/>
          <w:i w:val="0"/>
          <w:sz w:val="24"/>
        </w:rPr>
        <w:t>• Giúp đỡ người khác: β = 0,11 (p=0,006**)</w:t>
      </w:r>
    </w:p>
    <w:p>
      <w:r>
        <w:rPr>
          <w:rFonts w:ascii="Times New Roman" w:hAnsi="Times New Roman"/>
          <w:b w:val="0"/>
          <w:i w:val="0"/>
          <w:sz w:val="24"/>
        </w:rPr>
        <w:t>• Tìm hỗ trợ chuyên môn: tác nhân đại dịch β = 0,14 (p=0,024*); nữ — bảo vệ β = −0,08 (p=0,042*)</w:t>
      </w:r>
    </w:p>
    <w:p>
      <w:r>
        <w:rPr>
          <w:rFonts w:ascii="Times New Roman" w:hAnsi="Times New Roman"/>
          <w:b w:val="0"/>
          <w:i w:val="0"/>
          <w:sz w:val="24"/>
        </w:rPr>
        <w:t>ỨNG PHÓ TỰ TÚC:</w:t>
      </w:r>
    </w:p>
    <w:p>
      <w:r>
        <w:rPr>
          <w:rFonts w:ascii="Times New Roman" w:hAnsi="Times New Roman"/>
          <w:b w:val="0"/>
          <w:i w:val="0"/>
          <w:sz w:val="24"/>
        </w:rPr>
        <w:t>• Tự phân tâm: nữ β = 0,17 (p&lt;0,001***); tác nhân đại dịch β = 0,11 (p=0,011*)</w:t>
      </w:r>
    </w:p>
    <w:p>
      <w:r>
        <w:rPr>
          <w:rFonts w:ascii="Times New Roman" w:hAnsi="Times New Roman"/>
          <w:b w:val="0"/>
          <w:i w:val="0"/>
          <w:sz w:val="24"/>
        </w:rPr>
        <w:t>• Chấp nhận: SES thấp β = −0,13 (p=0,003**)</w:t>
      </w:r>
    </w:p>
    <w:p>
      <w:r>
        <w:rPr>
          <w:rFonts w:ascii="Times New Roman" w:hAnsi="Times New Roman"/>
          <w:b w:val="0"/>
          <w:i w:val="0"/>
          <w:sz w:val="24"/>
        </w:rPr>
        <w:t>• Đánh giá lại nhận thức: tương tác hỗ trợ β = 0,10 (p=0,019*); SES thấp β = −0,10 (p=0,017*)</w:t>
      </w:r>
    </w:p>
    <w:p>
      <w:r>
        <w:rPr>
          <w:rFonts w:ascii="Times New Roman" w:hAnsi="Times New Roman"/>
          <w:b w:val="0"/>
          <w:i w:val="0"/>
          <w:sz w:val="24"/>
        </w:rPr>
        <w:t>• Thói quen hàng ngày: nữ β = 0,13 (p=0,001**); tác nhân đại dịch — bảo vệ β = −0,10 (p=0,006**)</w:t>
      </w:r>
    </w:p>
    <w:p>
      <w:r>
        <w:rPr>
          <w:rFonts w:ascii="Times New Roman" w:hAnsi="Times New Roman"/>
          <w:b w:val="0"/>
          <w:i w:val="0"/>
          <w:sz w:val="24"/>
        </w:rPr>
        <w:t>• Hoạt động thể chất: SES thấp β = −0,18 (p&lt;0,001***); cha mẹ di cư β = −0,09 (p=0,028*)</w:t>
      </w:r>
    </w:p>
    <w:p>
      <w:r>
        <w:rPr>
          <w:rFonts w:ascii="Times New Roman" w:hAnsi="Times New Roman"/>
          <w:b w:val="0"/>
          <w:i w:val="0"/>
          <w:sz w:val="24"/>
        </w:rPr>
        <w:t>TÓM TẮT THANG CON:</w:t>
      </w:r>
    </w:p>
    <w:p>
      <w:r>
        <w:rPr>
          <w:rFonts w:ascii="Times New Roman" w:hAnsi="Times New Roman"/>
          <w:b w:val="0"/>
          <w:i w:val="0"/>
          <w:sz w:val="24"/>
        </w:rPr>
        <w:t>• Ứng phó tự túc: tương tác hỗ trợ β = 0,09 (p=0,030*)</w:t>
      </w:r>
    </w:p>
    <w:p>
      <w:r>
        <w:rPr>
          <w:rFonts w:ascii="Times New Roman" w:hAnsi="Times New Roman"/>
          <w:b w:val="0"/>
          <w:i w:val="0"/>
          <w:sz w:val="24"/>
        </w:rPr>
        <w:t>• Ứng phó xã hội: tương tác hỗ trợ β = 0,15 (p&lt;0,001***) — TÁC ĐỘNG MẠNH NHẤT</w:t>
      </w:r>
    </w:p>
    <w:p>
      <w:r>
        <w:rPr>
          <w:rFonts w:ascii="Times New Roman" w:hAnsi="Times New Roman"/>
          <w:b/>
          <w:color w:val="0070C0"/>
          <w:sz w:val="26"/>
        </w:rPr>
        <w:t>3.7. Tác động gián tiếp: tuổi 13 → ứng phó → căng thẳng tâm lý</w:t>
      </w:r>
    </w:p>
    <w:p>
      <w:r>
        <w:rPr>
          <w:rFonts w:ascii="Times New Roman" w:hAnsi="Times New Roman"/>
          <w:b w:val="0"/>
          <w:i w:val="0"/>
          <w:sz w:val="24"/>
        </w:rPr>
        <w:t>Tác động trực tiếp của ứng phó thích nghi lên căng thẳng tâm lý sau (đợt cuối 4/đầu 5/2020, n=694):</w:t>
      </w:r>
    </w:p>
    <w:p>
      <w:r>
        <w:rPr>
          <w:rFonts w:ascii="Times New Roman" w:hAnsi="Times New Roman"/>
          <w:b w:val="0"/>
          <w:i w:val="0"/>
          <w:sz w:val="24"/>
        </w:rPr>
        <w:t>• Cảm thấy tệ hơn: β = −0,10 (p=0,029*)</w:t>
      </w:r>
    </w:p>
    <w:p>
      <w:r>
        <w:rPr>
          <w:rFonts w:ascii="Times New Roman" w:hAnsi="Times New Roman"/>
          <w:b w:val="0"/>
          <w:i w:val="0"/>
          <w:sz w:val="24"/>
        </w:rPr>
        <w:t>• Tuyệt vọng: β = −0,11 (p=0,011*)</w:t>
      </w:r>
    </w:p>
    <w:p>
      <w:r>
        <w:rPr>
          <w:rFonts w:ascii="Times New Roman" w:hAnsi="Times New Roman"/>
          <w:b w:val="0"/>
          <w:i w:val="0"/>
          <w:sz w:val="24"/>
        </w:rPr>
        <w:t>• Xáo trộn cuộc sống: β = −0,03 (p=0,426 ns)</w:t>
      </w:r>
    </w:p>
    <w:p>
      <w:r>
        <w:rPr>
          <w:rFonts w:ascii="Times New Roman" w:hAnsi="Times New Roman"/>
          <w:b w:val="0"/>
          <w:i w:val="0"/>
          <w:sz w:val="24"/>
        </w:rPr>
        <w:t>Tác động GIÁN TIẾP của tương tác hỗ trợ tuổi 13 lên căng thẳng tâm lý qua ứng phó:</w:t>
      </w:r>
    </w:p>
    <w:p>
      <w:r>
        <w:rPr>
          <w:rFonts w:ascii="Times New Roman" w:hAnsi="Times New Roman"/>
          <w:b w:val="0"/>
          <w:i w:val="0"/>
          <w:sz w:val="24"/>
        </w:rPr>
        <w:t>• Cảm thấy tệ hơn: b không chuẩn hoá = −0,05 (95% CI: −0,11 đến −0,01)*</w:t>
      </w:r>
    </w:p>
    <w:p>
      <w:r>
        <w:rPr>
          <w:rFonts w:ascii="Times New Roman" w:hAnsi="Times New Roman"/>
          <w:b w:val="0"/>
          <w:i w:val="0"/>
          <w:sz w:val="24"/>
        </w:rPr>
        <w:t>• Tuyệt vọng: b = −0,06 (95% CI: −0,12 đến −0,02)*</w:t>
      </w:r>
    </w:p>
    <w:p>
      <w:r>
        <w:rPr>
          <w:rFonts w:ascii="Times New Roman" w:hAnsi="Times New Roman"/>
          <w:b w:val="0"/>
          <w:i w:val="0"/>
          <w:sz w:val="24"/>
        </w:rPr>
        <w:t>• Xáo trộn cuộc sống: không có ý nghĩa</w:t>
      </w:r>
    </w:p>
    <w:p>
      <w:r>
        <w:rPr>
          <w:rFonts w:ascii="Times New Roman" w:hAnsi="Times New Roman"/>
          <w:b/>
          <w:i w:val="0"/>
          <w:color w:val="0070C0"/>
          <w:sz w:val="24"/>
        </w:rPr>
        <w:t>PHÁT HIỆN 3 — Đường dẫn gián tiếp được xác lập:</w:t>
      </w:r>
    </w:p>
    <w:p>
      <w:r>
        <w:rPr>
          <w:rFonts w:ascii="Times New Roman" w:hAnsi="Times New Roman"/>
          <w:b/>
          <w:i w:val="0"/>
          <w:sz w:val="24"/>
        </w:rPr>
        <w:t>Tương tác hỗ trợ cha-mẹ-con tuổi 13 → tăng ứng phó thích nghi tuổi 22 → GIẢM cảm giác tệ hơn + tuyệt vọng trong đại dịch. Đây là MÔ HÌNH 3 BƯỚC THEO THỜI GIAN, kiểm chứng được nhờ thiết kế dài hạn.</w:t>
      </w:r>
    </w:p>
    <w:p>
      <w:r>
        <w:rPr>
          <w:rFonts w:ascii="Times New Roman" w:hAnsi="Times New Roman"/>
          <w:b/>
          <w:color w:val="0070C0"/>
          <w:sz w:val="30"/>
        </w:rPr>
        <w:t>PHẦN 4 — THẢO LUẬN (DISCUSSION)</w:t>
      </w:r>
    </w:p>
    <w:p>
      <w:pPr>
        <w:jc w:val="center"/>
      </w:pPr>
      <w:r>
        <w:rPr>
          <w:rFonts w:ascii="Times New Roman" w:hAnsi="Times New Roman"/>
          <w:b/>
          <w:i/>
          <w:color w:val="E06C00"/>
          <w:sz w:val="22"/>
        </w:rPr>
        <w:t>— — — Trang 1262-1268, Journal of Early Adolescence, Tập 44(9), 2023 — — —</w:t>
      </w:r>
    </w:p>
    <w:p>
      <w:r>
        <w:rPr>
          <w:rFonts w:ascii="Times New Roman" w:hAnsi="Times New Roman"/>
          <w:b/>
          <w:color w:val="0070C0"/>
          <w:sz w:val="26"/>
        </w:rPr>
        <w:t>4.1. Vai trò của triệu chứng nội tâm hoá tuổi vị thành niên sớm</w:t>
      </w:r>
    </w:p>
    <w:p>
      <w:r>
        <w:rPr>
          <w:rFonts w:ascii="Times New Roman" w:hAnsi="Times New Roman"/>
          <w:b w:val="0"/>
          <w:i w:val="0"/>
          <w:sz w:val="24"/>
        </w:rPr>
        <w:t>Triệu chứng nội tâm hoá tuổi vị thành niên sớm NHẤT QUÁN tiên lượng MỨC ĐỘ CAO HƠN của cả 3 chỉ báo căng thẳng tâm lý ~9 năm sau trong COVID-19. Phản ánh: (1) sự liên tục của SKTT theo thời gian (Copeland 2009; Rao &amp; Chen 2009), và (2) độ dễ tổn thương cao hơn của những người có khuynh hướng nội tâm hoá khi gặp tác nhân căng thẳng mới.</w:t>
      </w:r>
    </w:p>
    <w:p>
      <w:r>
        <w:rPr>
          <w:rFonts w:ascii="Times New Roman" w:hAnsi="Times New Roman"/>
          <w:b w:val="0"/>
          <w:i w:val="0"/>
          <w:sz w:val="24"/>
        </w:rPr>
        <w:t>PHÁT HIỆN CHƯA GIẢI THÍCH: Triệu chứng nội tâm hoá KHÔNG liên quan với GIẢM ứng phó thích nghi. Có 3 cách giải thích:</w:t>
      </w:r>
    </w:p>
    <w:p>
      <w:r>
        <w:rPr>
          <w:rFonts w:ascii="Times New Roman" w:hAnsi="Times New Roman"/>
          <w:b w:val="0"/>
          <w:i w:val="0"/>
          <w:sz w:val="24"/>
        </w:rPr>
        <w:t>(1) Vị thành niên có vấn đề nội tâm hoá có thể dùng CẢ chiến lược không thích nghi (rumination, tự hại) VÀ thích nghi đồng thời — tạo hiệu ứng net = 0 (Krause và cộng sự 2018; Nock và cộng sự 2006)</w:t>
      </w:r>
    </w:p>
    <w:p>
      <w:r>
        <w:rPr>
          <w:rFonts w:ascii="Times New Roman" w:hAnsi="Times New Roman"/>
          <w:b w:val="0"/>
          <w:i w:val="0"/>
          <w:sz w:val="24"/>
        </w:rPr>
        <w:t>(2) Một số có thể đã tiếp cận dịch vụ SKTT, phát triển điều hoà cảm xúc lành mạnh dù từng có triệu chứng (Wu và cộng sự 2001)</w:t>
      </w:r>
    </w:p>
    <w:p>
      <w:r>
        <w:rPr>
          <w:rFonts w:ascii="Times New Roman" w:hAnsi="Times New Roman"/>
          <w:b w:val="0"/>
          <w:i w:val="0"/>
          <w:sz w:val="24"/>
        </w:rPr>
        <w:t>(3) Tính không đồng nhất nhóm con (người được hỗ trợ vs không) có thể tạo các liên hệ đối kháng nhau, triệt tiêu lẫn nhau</w:t>
      </w:r>
    </w:p>
    <w:p>
      <w:r>
        <w:rPr>
          <w:rFonts w:ascii="Times New Roman" w:hAnsi="Times New Roman"/>
          <w:b/>
          <w:color w:val="0070C0"/>
          <w:sz w:val="26"/>
        </w:rPr>
        <w:t>4.2. Vai trò của sự kiện căng thẳng tuổi vị thành niên sớm</w:t>
      </w:r>
    </w:p>
    <w:p>
      <w:r>
        <w:rPr>
          <w:rFonts w:ascii="Times New Roman" w:hAnsi="Times New Roman"/>
          <w:b w:val="0"/>
          <w:i w:val="0"/>
          <w:sz w:val="24"/>
        </w:rPr>
        <w:t>Bằng chứng ỦNG HỘ GIẢ THUYẾT MIỄN DỊCH TÂM LÝ. Thanh niên có phơi nhiễm căng thẳng cao bất thường ở tuổi vị thành niên sớm KHÔNG có nguy cơ tăng xáo trộn cuộc sống khi đối mặt với tác nhân đại dịch. Cơ chế giả định: cách khung nhận thức khác nhau — người trải qua nhiều sự kiện căng thẳng trước đó có thể có ngưỡng cao hơn để xem các sự kiện thêm là "xáo trộn" cuộc sống.</w:t>
      </w:r>
    </w:p>
    <w:p>
      <w:r>
        <w:rPr>
          <w:rFonts w:ascii="Times New Roman" w:hAnsi="Times New Roman"/>
          <w:b w:val="0"/>
          <w:i w:val="0"/>
          <w:sz w:val="24"/>
        </w:rPr>
        <w:t>Lưu ý: KHÔNG có tác động chính trên tuyệt vọng hay cảm thấy tệ hơn, và KHÔNG có tương tác với tác nhân đại dịch cho 2 outcome đó.</w:t>
      </w:r>
    </w:p>
    <w:p>
      <w:r>
        <w:rPr>
          <w:rFonts w:ascii="Times New Roman" w:hAnsi="Times New Roman"/>
          <w:b w:val="0"/>
          <w:i w:val="0"/>
          <w:sz w:val="24"/>
        </w:rPr>
        <w:t>Hạn chế: Đo lường tập trung vào MERE EXPOSURE đến sự kiện căng thẳng — không đánh giá cách người tham gia ĐÁNH GIÁ và VƯỢT QUA chúng. Người vượt qua thành công được hưởng lợi từ inoculation; người không thành công vẫn dễ tổn thương. Nghiên cứu tương lai cần thông tin bổ sung về CHẤT LƯỢNG vượt qua (Oldehinkel 2014).</w:t>
      </w:r>
    </w:p>
    <w:p>
      <w:r>
        <w:rPr>
          <w:rFonts w:ascii="Times New Roman" w:hAnsi="Times New Roman"/>
          <w:b/>
          <w:color w:val="0070C0"/>
          <w:sz w:val="26"/>
        </w:rPr>
        <w:t>4.3. Vai trò của tương tác hỗ trợ cha-mẹ-con</w:t>
      </w:r>
    </w:p>
    <w:p>
      <w:r>
        <w:rPr>
          <w:rFonts w:ascii="Times New Roman" w:hAnsi="Times New Roman"/>
          <w:b w:val="0"/>
          <w:i w:val="0"/>
          <w:sz w:val="24"/>
        </w:rPr>
        <w:t>Tương tác hỗ trợ cha-mẹ-con KHÔNG liên quan TRỰC TIẾP với căng thẳng tâm lý ở tuổi 22 — nhưng GIÁN TIẾP hỗ trợ phát triển ứng phó thích nghi → giảm căng thẳng tâm lý.</w:t>
      </w:r>
    </w:p>
    <w:p>
      <w:r>
        <w:rPr>
          <w:rFonts w:ascii="Times New Roman" w:hAnsi="Times New Roman"/>
          <w:b w:val="0"/>
          <w:i w:val="0"/>
          <w:sz w:val="24"/>
        </w:rPr>
        <w:t>3 cơ chế ứng phó cụ thể:</w:t>
      </w:r>
    </w:p>
    <w:p>
      <w:r>
        <w:rPr>
          <w:rFonts w:ascii="Times New Roman" w:hAnsi="Times New Roman"/>
          <w:b w:val="0"/>
          <w:i w:val="0"/>
          <w:sz w:val="24"/>
        </w:rPr>
        <w:t>(1) CHIẾN LƯỢC XÃ HỘI: Liên hệ TRỰC TIẾP MẠNH (β=0,11-0,15) với tìm hỗ trợ, duy trì liên lạc, giúp đỡ người khác. Cha mẹ làm gương + dạy rằng hỗ trợ xã hội là sẵn có và có giá trị (Skinner &amp; Zimmer-Gembeck 2007). Kỹ năng này chuyển sang quan hệ bạn bè / người yêu ở tuổi trưởng thành.</w:t>
      </w:r>
    </w:p>
    <w:p>
      <w:r>
        <w:rPr>
          <w:rFonts w:ascii="Times New Roman" w:hAnsi="Times New Roman"/>
          <w:b w:val="0"/>
          <w:i w:val="0"/>
          <w:sz w:val="24"/>
        </w:rPr>
        <w:t>(2) CHIẾN LƯỢC NHẬN THỨC: Liên hệ với đánh giá lại nhận thức (β=0,10) gợi ý cha mẹ rèn luyện khả năng "đặt mình vào vị trí người khác" / nhìn nhận đa chiều (Hall và cộng sự 2021), giúp con khung lại các tác nhân căng thẳng theo hướng tích cực.</w:t>
      </w:r>
    </w:p>
    <w:p>
      <w:r>
        <w:rPr>
          <w:rFonts w:ascii="Times New Roman" w:hAnsi="Times New Roman"/>
          <w:b w:val="0"/>
          <w:i w:val="0"/>
          <w:sz w:val="24"/>
        </w:rPr>
        <w:t>(3) CHIẾN LƯỢC HOẠT ĐỘNG: Có thể liên quan đến chiến lược tự túc (β=0,09, gần ý nghĩa) qua việc cha mẹ làm gương các hoạt động chung — tăng mức độ hoạt động chung và tham gia hoạt động giải trí.</w:t>
      </w:r>
    </w:p>
    <w:p>
      <w:r>
        <w:rPr>
          <w:rFonts w:ascii="Times New Roman" w:hAnsi="Times New Roman"/>
          <w:b/>
          <w:i w:val="0"/>
          <w:color w:val="0070C0"/>
          <w:sz w:val="24"/>
        </w:rPr>
        <w:t>ĐÓNG GÓP MỚI: Hầu hết nghiên cứu trước xem xét hiệu quả ứng phó SAU KHI đã có; bài này cho thấy XÃ HỘI HOÁ GIA ĐÌNH ở tuổi vị thành niên sớm hình thành CAPACITY ứng phó SUỐT ĐỜI. Trong giai đoạn phong toả, các thành viên trong gia đình trở thành nguồn hỗ trợ xã hội CHÍNH; do đó kỹ năng ứng phó xã hội được học sớm (từ xã hội hoá gia đình) tỏ ra ĐẶC BIỆT HỮU ÍCH.</w:t>
      </w:r>
    </w:p>
    <w:p>
      <w:r>
        <w:rPr>
          <w:rFonts w:ascii="Times New Roman" w:hAnsi="Times New Roman"/>
          <w:b/>
          <w:color w:val="0070C0"/>
          <w:sz w:val="26"/>
        </w:rPr>
        <w:t>4.4. Phát hiện bổ sung</w:t>
      </w:r>
    </w:p>
    <w:p>
      <w:r>
        <w:rPr>
          <w:rFonts w:ascii="Times New Roman" w:hAnsi="Times New Roman"/>
          <w:b w:val="0"/>
          <w:i w:val="0"/>
          <w:sz w:val="24"/>
        </w:rPr>
        <w:t>• KHÁC BIỆT GIỚI: Nữ báo cáo nhiều tuyệt vọng, xáo trộn cuộc sống, và dùng ứng phó thích nghi NHIỀU HƠN nam.</w:t>
      </w:r>
    </w:p>
    <w:p>
      <w:r>
        <w:rPr>
          <w:rFonts w:ascii="Times New Roman" w:hAnsi="Times New Roman"/>
          <w:b w:val="0"/>
          <w:i w:val="0"/>
          <w:sz w:val="24"/>
        </w:rPr>
        <w:t>• HIỆU ỨNG SES: SES thấp ở tuổi vị thành niên liên quan với tần suất ứng phó thích nghi THẤP HƠN + giảm engagement vào các chiến lược cụ thể (chấp nhận, đánh giá lại nhận thức, hoạt động thể chất).</w:t>
      </w:r>
    </w:p>
    <w:p>
      <w:r>
        <w:rPr>
          <w:rFonts w:ascii="Times New Roman" w:hAnsi="Times New Roman"/>
          <w:b w:val="0"/>
          <w:i w:val="0"/>
          <w:sz w:val="24"/>
        </w:rPr>
        <w:t>• KÍCH THƯỚC HIỆU ỨNG nhỏ NHƯNG đáng chú ý do khoảng cách 9 năm. Götz và cộng sự (2022) lập luận các kích thước hiệu ứng nhỏ này là nền tảng cho khoa học tâm lý tích luỹ.</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Steinhoff và cộng sự (2023) có TỔNG CỘNG 84 tài liệu tham khảo. Em liệt kê 20 tài liệu đầu — phần em đã đối chiếu trực tiếp từ PMC NCBI.</w:t>
      </w:r>
    </w:p>
    <w:p>
      <w:r>
        <w:rPr>
          <w:rFonts w:ascii="Times New Roman" w:hAnsi="Times New Roman"/>
          <w:b w:val="0"/>
          <w:i/>
          <w:color w:val="555555"/>
          <w:sz w:val="24"/>
        </w:rPr>
        <w:t>(Giữ nguyên tiếng Anh — định dạng gốc của tạp chí Journal of Early Adolescence theo APA)</w:t>
      </w:r>
    </w:p>
    <w:p>
      <w:r>
        <w:rPr>
          <w:rFonts w:ascii="Times New Roman" w:hAnsi="Times New Roman"/>
          <w:b w:val="0"/>
          <w:i w:val="0"/>
          <w:sz w:val="22"/>
        </w:rPr>
        <w:t>1. Aldwin, C. M. (2012). Stress and coping across the lifespan. In S. Folkman (Ed.), The Oxford Handbook of Stress, Health, and Coping. Oxford University Press.</w:t>
      </w:r>
    </w:p>
    <w:p>
      <w:r>
        <w:rPr>
          <w:rFonts w:ascii="Times New Roman" w:hAnsi="Times New Roman"/>
          <w:b w:val="0"/>
          <w:i w:val="0"/>
          <w:sz w:val="22"/>
        </w:rPr>
        <w:t>2. Appleyard, K., Egeland, B., Van Dulmen, M. H. M., &amp; Sroufe, L. A. (2005). When more is not better: The role of cumulative risk in child behavior. Journal of Child Psychology and Psychiatry, 46(3), 235–245. https://doi.org/10.1111/j.1469-7610.2004.00351.x</w:t>
      </w:r>
    </w:p>
    <w:p>
      <w:r>
        <w:rPr>
          <w:rFonts w:ascii="Times New Roman" w:hAnsi="Times New Roman"/>
          <w:b w:val="0"/>
          <w:i w:val="0"/>
          <w:sz w:val="22"/>
        </w:rPr>
        <w:t>3. Berg, N., Kiviruusu, O., Karvonen, S., Rahkonen, O., &amp; Huurre, T. (2017). Pathways from problems in adolescent family relationships to midlife mental health via early adulthood disadvantages. PLoS ONE, 12(5), e0178136.</w:t>
      </w:r>
    </w:p>
    <w:p>
      <w:r>
        <w:rPr>
          <w:rFonts w:ascii="Times New Roman" w:hAnsi="Times New Roman"/>
          <w:b w:val="0"/>
          <w:i w:val="0"/>
          <w:sz w:val="22"/>
        </w:rPr>
        <w:t>4. Buckley, L., Broadley, M., &amp; Cascio, C. N. (2019). Socio-economic status and the developing brain in adolescence: A systematic review. Child Neuropsychology, 25(7), 859–884.</w:t>
      </w:r>
    </w:p>
    <w:p>
      <w:r>
        <w:rPr>
          <w:rFonts w:ascii="Times New Roman" w:hAnsi="Times New Roman"/>
          <w:b w:val="0"/>
          <w:i w:val="0"/>
          <w:sz w:val="22"/>
        </w:rPr>
        <w:t>5. Buhle, J. T., Silvers, J. A., Wager, T. D., et al. (2013). Cognitive reappraisal of emotion: A meta-analysis of human neuroimaging studies. Cerebral Cortex, 24(11), 2981–2990.</w:t>
      </w:r>
    </w:p>
    <w:p>
      <w:r>
        <w:rPr>
          <w:rFonts w:ascii="Times New Roman" w:hAnsi="Times New Roman"/>
          <w:b w:val="0"/>
          <w:i w:val="0"/>
          <w:sz w:val="22"/>
        </w:rPr>
        <w:t>6. Calvete, E., Orue, I., &amp; Hankin, B. L. (2015). Cross-lagged associations among ruminative response style, stressors, and depressive symptoms in adolescents. Journal of Social and Clinical Psychology, 34(3), 203–220.</w:t>
      </w:r>
    </w:p>
    <w:p>
      <w:r>
        <w:rPr>
          <w:rFonts w:ascii="Times New Roman" w:hAnsi="Times New Roman"/>
          <w:b w:val="0"/>
          <w:i w:val="0"/>
          <w:sz w:val="22"/>
        </w:rPr>
        <w:t>7. Carroll, L. (2013). Problem-focused coping. In M. D. Gellman &amp; J. R. Turner (Eds.), Encyclopedia of Behavioral Medicine (pp. 1540–1541). Springer.</w:t>
      </w:r>
    </w:p>
    <w:p>
      <w:r>
        <w:rPr>
          <w:rFonts w:ascii="Times New Roman" w:hAnsi="Times New Roman"/>
          <w:b w:val="0"/>
          <w:i w:val="0"/>
          <w:sz w:val="22"/>
        </w:rPr>
        <w:t>8. Carver, C. S. (1997). You want to measure coping but your protocol's too long: Consider the brief COPE. International Journal of Behavioral Medicine, 4(1), 92–100.</w:t>
      </w:r>
    </w:p>
    <w:p>
      <w:r>
        <w:rPr>
          <w:rFonts w:ascii="Times New Roman" w:hAnsi="Times New Roman"/>
          <w:b w:val="0"/>
          <w:i w:val="0"/>
          <w:sz w:val="22"/>
        </w:rPr>
        <w:t>9. Chen, X., Zou, Y., &amp; Gao, H. (2021). Role of neighborhood social support in stress coping and psychological wellbeing during the COVID-19 pandemic. Health &amp; Place, 69, 102532.</w:t>
      </w:r>
    </w:p>
    <w:p>
      <w:r>
        <w:rPr>
          <w:rFonts w:ascii="Times New Roman" w:hAnsi="Times New Roman"/>
          <w:b w:val="0"/>
          <w:i w:val="0"/>
          <w:sz w:val="22"/>
        </w:rPr>
        <w:t>10. Cheng, C., Lau, H.-P. B., &amp; Chan, M.-P. S. (2014). Coping flexibility and psychological adjustment to stressful life changes: A meta-analytic review. Psychological Bulletin, 140(6), 1582–1607.</w:t>
      </w:r>
    </w:p>
    <w:p>
      <w:r>
        <w:rPr>
          <w:rFonts w:ascii="Times New Roman" w:hAnsi="Times New Roman"/>
          <w:b w:val="0"/>
          <w:i w:val="0"/>
          <w:sz w:val="22"/>
        </w:rPr>
        <w:t>11. Compas, B. E., Jaser, S. S., Bettis, A. H., et al. (2017). Coping, emotion regulation, and psychopathology in childhood and adolescence: A meta-analysis and narrative review. Psychological Bulletin, 143(9), 939–991.</w:t>
      </w:r>
    </w:p>
    <w:p>
      <w:r>
        <w:rPr>
          <w:rFonts w:ascii="Times New Roman" w:hAnsi="Times New Roman"/>
          <w:b w:val="0"/>
          <w:i w:val="0"/>
          <w:sz w:val="22"/>
        </w:rPr>
        <w:t>12. Conner, K. R., Duberstein, P. R., Conwell, Y., Seidlitz, L., &amp; Caine, E. D. (2001). Psychological vulnerability to completed suicide: A review of empirical studies. Suicide and Life-Threatening Behavior, 31(4), 367–385.</w:t>
      </w:r>
    </w:p>
    <w:p>
      <w:r>
        <w:rPr>
          <w:rFonts w:ascii="Times New Roman" w:hAnsi="Times New Roman"/>
          <w:b w:val="0"/>
          <w:i w:val="0"/>
          <w:sz w:val="22"/>
        </w:rPr>
        <w:t>13. Copeland, W. E., Shanahan, L., Costello, E. J., &amp; Angold, A. (2009). Childhood and adolescent psychiatric disorders as predictors of young adult disorders. Archives of General Psychiatry, 66(7), 764–772.</w:t>
      </w:r>
    </w:p>
    <w:p>
      <w:r>
        <w:rPr>
          <w:rFonts w:ascii="Times New Roman" w:hAnsi="Times New Roman"/>
          <w:b w:val="0"/>
          <w:i w:val="0"/>
          <w:sz w:val="22"/>
        </w:rPr>
        <w:t>14. Enders, C. K. (2013). Dealing with missing data in developmental research. Child Development Perspectives, 7(1), 27–31.</w:t>
      </w:r>
    </w:p>
    <w:p>
      <w:r>
        <w:rPr>
          <w:rFonts w:ascii="Times New Roman" w:hAnsi="Times New Roman"/>
          <w:b w:val="0"/>
          <w:i w:val="0"/>
          <w:sz w:val="22"/>
        </w:rPr>
        <w:t>15. Eschenbeck, H., Schmid, S., Schröder, I., et al. (2018). Development of coping strategies from childhood to adolescence. European Journal of Health Psychology, 25(1), 18–30.</w:t>
      </w:r>
    </w:p>
    <w:p>
      <w:r>
        <w:rPr>
          <w:rFonts w:ascii="Times New Roman" w:hAnsi="Times New Roman"/>
          <w:b w:val="0"/>
          <w:i w:val="0"/>
          <w:sz w:val="22"/>
        </w:rPr>
        <w:t>16. Fegert, J. M., Vitiello, B., Plener, P. L., &amp; Clemens, V. (2020). Challenges and burden of the coronavirus 2019 (COVID-19) pandemic for child and adolescent mental health. Child and Adolescent Psychiatry and Mental Health, 14, 20.</w:t>
      </w:r>
    </w:p>
    <w:p>
      <w:r>
        <w:rPr>
          <w:rFonts w:ascii="Times New Roman" w:hAnsi="Times New Roman"/>
          <w:b w:val="0"/>
          <w:i w:val="0"/>
          <w:sz w:val="22"/>
        </w:rPr>
        <w:t>17. Folkman, S. (2010). Stress, coping, and hope. Psycho-Oncology, 19(9), 901–908.</w:t>
      </w:r>
    </w:p>
    <w:p>
      <w:r>
        <w:rPr>
          <w:rFonts w:ascii="Times New Roman" w:hAnsi="Times New Roman"/>
          <w:b w:val="0"/>
          <w:i w:val="0"/>
          <w:sz w:val="22"/>
        </w:rPr>
        <w:t>18. Folkman, S. (Ed.). (2012). The Oxford Handbook of Stress, Health, and Coping. Oxford University Press.</w:t>
      </w:r>
    </w:p>
    <w:p>
      <w:r>
        <w:rPr>
          <w:rFonts w:ascii="Times New Roman" w:hAnsi="Times New Roman"/>
          <w:b w:val="0"/>
          <w:i w:val="0"/>
          <w:sz w:val="22"/>
        </w:rPr>
        <w:t>19. Ford, C. A., Pool, A. C., Kahn, N. F., Jaccard, J., &amp; Halpern, C. T. (2023). Associations between mother-adolescent and father-adolescent relationships and young adult health. JAMA Network Open, 6(3), e233944.</w:t>
      </w:r>
    </w:p>
    <w:p>
      <w:r>
        <w:rPr>
          <w:rFonts w:ascii="Times New Roman" w:hAnsi="Times New Roman"/>
          <w:b w:val="0"/>
          <w:i w:val="0"/>
          <w:sz w:val="22"/>
        </w:rPr>
        <w:t>20. Ganzeboom, H. B. G., De Graaf, P. M., Treiman, D. J., &amp; De Leeuw, J. (1992). A standard international socio-economic index of occupational status. Social Science Research, 21, 1–56.</w:t>
      </w:r>
    </w:p>
    <w:p>
      <w:r>
        <w:rPr>
          <w:rFonts w:ascii="Times New Roman" w:hAnsi="Times New Roman"/>
          <w:b w:val="0"/>
          <w:i/>
          <w:color w:val="555555"/>
          <w:sz w:val="20"/>
        </w:rPr>
        <w:t>(Còn 64 tài liệu tham khảo tiếp theo — thầy có thể truy cập đầy đủ tại PMC10261967)</w:t>
      </w:r>
    </w:p>
    <w:p>
      <w:r>
        <w:rPr>
          <w:rFonts w:ascii="Times New Roman" w:hAnsi="Times New Roman"/>
          <w:b/>
          <w:color w:val="0070C0"/>
          <w:sz w:val="30"/>
        </w:rPr>
        <w:t>PHẦN 6 — PHẢN BIỆN CHI TIẾT (CRITICAL REVIEW)</w:t>
      </w:r>
    </w:p>
    <w:p>
      <w:r>
        <w:rPr>
          <w:rFonts w:ascii="Times New Roman" w:hAnsi="Times New Roman"/>
          <w:b/>
          <w:color w:val="0070C0"/>
          <w:sz w:val="26"/>
        </w:rPr>
        <w:t>Điểm 1 — Thiết kế cohort dài hạn 9 năm là điểm mạnh QUAN TRỌNG NHẤT</w:t>
      </w:r>
    </w:p>
    <w:p>
      <w:pPr>
        <w:ind w:left="227"/>
      </w:pPr>
      <w:r>
        <w:rPr>
          <w:rFonts w:ascii="Times New Roman" w:hAnsi="Times New Roman"/>
          <w:color w:val="C00000"/>
          <w:sz w:val="24"/>
        </w:rPr>
        <w:t>Theo dõi cùng một mẫu 786 người trong 9 năm — từ tuổi 13 (2011) đến tuổi 22 (2020 đại dịch) — là thiết kế HIẾM CÓ trong nghiên cứu coping. Cho phép suy luận thời gian (temporal inference): yếu tố tuổi 13 ĐI TRƯỚC outcome tuổi 22 → loại trừ được phần nào hướng nhân quả ngược (reverse causation) đã làm khó hiểu phát hiện của Herres 2015 cắt ngang. Tỉ lệ giữ mẫu (retention) tốt qua 12 đợt đánh giá — bằng chứng uy tín của z-proso.</w:t>
      </w:r>
    </w:p>
    <w:p>
      <w:r>
        <w:rPr>
          <w:rFonts w:ascii="Times New Roman" w:hAnsi="Times New Roman"/>
          <w:b/>
          <w:color w:val="0070C0"/>
          <w:sz w:val="26"/>
        </w:rPr>
        <w:t>Điểm 2 — Bằng chứng cho INOCULATION HYPOTHESIS đáng chú ý</w:t>
      </w:r>
    </w:p>
    <w:p>
      <w:pPr>
        <w:ind w:left="227"/>
      </w:pPr>
      <w:r>
        <w:rPr>
          <w:rFonts w:ascii="Times New Roman" w:hAnsi="Times New Roman"/>
          <w:color w:val="C00000"/>
          <w:sz w:val="24"/>
        </w:rPr>
        <w:t>Phát hiện rằng thanh niên có tích luỹ sự kiện căng thẳng cao ở tuổi 13 KHÔNG có nguy cơ tăng xáo trộn cuộc sống khi đối mặt với đại dịch (β tương tác = −0,11, p &lt; 0,01) là CHỨNG CỨ ĐÁNG CHÚ Ý cho giả thuyết miễn dịch tâm lý. Lưu ý: hiệu ứng chỉ ở 1 trong 3 outcome (xáo trộn cuộc sống), KHÔNG ở tuyệt vọng hay cảm thấy tệ hơn — gợi ý miễn dịch chỉ ở khía cạnh nhận thức về xáo trộn, không phải emotion. Cần thận trọng khái quát hoá — không phải mọi căng thẳng sớm đều có lợi.</w:t>
      </w:r>
    </w:p>
    <w:p>
      <w:r>
        <w:rPr>
          <w:rFonts w:ascii="Times New Roman" w:hAnsi="Times New Roman"/>
          <w:b/>
          <w:color w:val="0070C0"/>
          <w:sz w:val="26"/>
        </w:rPr>
        <w:t>Điểm 3 — Effect sizes nhỏ — ý nghĩa thực tiễn cần xem xét</w:t>
      </w:r>
    </w:p>
    <w:p>
      <w:pPr>
        <w:ind w:left="227"/>
      </w:pPr>
      <w:r>
        <w:rPr>
          <w:rFonts w:ascii="Times New Roman" w:hAnsi="Times New Roman"/>
          <w:color w:val="C00000"/>
          <w:sz w:val="24"/>
        </w:rPr>
        <w:t>Hầu hết β = 0,09-0,15 — nhỏ theo chuẩn Cohen (β nhỏ &lt; 0,10, trung bình ~0,30). Tác giả tự thừa nhận. Tuy nhiên Götz và cộng sự (2022) lập luận hiệu ứng nhỏ qua khoảng thời gian dài (9 năm) là đáng chú ý cho khoa học tâm lý tích luỹ. Áp dụng thực tiễn: KHÔNG kỳ vọng can thiệp "hỗ trợ cha mẹ" sẽ tạo thay đổi LỚN ở từng cá nhân — nhưng tích luỹ qua quần thể có thể có giá trị y tế công cộng.</w:t>
      </w:r>
    </w:p>
    <w:p>
      <w:r>
        <w:rPr>
          <w:rFonts w:ascii="Times New Roman" w:hAnsi="Times New Roman"/>
          <w:b/>
          <w:color w:val="0070C0"/>
          <w:sz w:val="26"/>
        </w:rPr>
        <w:t>Điểm 4 — Thang đo ứng phó hạn chế — α = 0,54</w:t>
      </w:r>
    </w:p>
    <w:p>
      <w:pPr>
        <w:ind w:left="227"/>
      </w:pPr>
      <w:r>
        <w:rPr>
          <w:rFonts w:ascii="Times New Roman" w:hAnsi="Times New Roman"/>
          <w:color w:val="C00000"/>
          <w:sz w:val="24"/>
        </w:rPr>
        <w:t>Tác giả tự thừa nhận "limited" adaptive coping measure: chỉ vài mục, hệ số tin cậy nội tại tổng α = 0,54 (THẤP). Do thang đo bao quát nhiều chiến lược trong các bối cảnh khác nhau (cá nhân, xã hội, đặc thù đại dịch), heterogeneity cao là dự kiến. Tuy nhiên độ tin cậy thấp làm GIẢM khả năng phát hiện hiệu ứng (statistical power) — hiệu ứng thực có thể MẠNH HƠN số liệu báo cáo. Nghiên cứu tương lai nên dùng thang đo dài hơn (vd. Brief COPE 28 mục đầy đủ).</w:t>
      </w:r>
    </w:p>
    <w:p>
      <w:r>
        <w:rPr>
          <w:rFonts w:ascii="Times New Roman" w:hAnsi="Times New Roman"/>
          <w:b/>
          <w:color w:val="0070C0"/>
          <w:sz w:val="26"/>
        </w:rPr>
        <w:t>Điểm 5 — Generalisability cho Việt Nam hạn chế</w:t>
      </w:r>
    </w:p>
    <w:p>
      <w:pPr>
        <w:ind w:left="227"/>
      </w:pPr>
      <w:r>
        <w:rPr>
          <w:rFonts w:ascii="Times New Roman" w:hAnsi="Times New Roman"/>
          <w:color w:val="C00000"/>
          <w:sz w:val="24"/>
        </w:rPr>
        <w:t>Mẫu Thuỵ Sĩ với SES trung bình - cao, hệ thống y tế + phúc lợi tốt; 30% chuyển khỏi nhà cha mẹ ở tuổi 22 (đa số sống cùng bạn / bạn đời). Việt Nam có cấu trúc gia đình rất khác — đa thế hệ, sống cùng cha mẹ đến lập gia đình, áp lực xã hội về "hiếu thảo". Tác động của tương tác hỗ trợ cha-mẹ-con có thể MẠNH HƠN ở Việt Nam (do gia đình quan trọng hơn) hoặc YẾU HƠN (do không phải lựa chọn tự nguyện). Cần nghiên cứu nhân rộng (replication) ở Việt Nam.</w:t>
      </w:r>
    </w:p>
    <w:p>
      <w:r>
        <w:rPr>
          <w:rFonts w:ascii="Times New Roman" w:hAnsi="Times New Roman"/>
          <w:b/>
          <w:color w:val="0070C0"/>
          <w:sz w:val="30"/>
        </w:rPr>
        <w:t>PHẦN 7 — PHÁT HIỆN GAP NGHIÊN CỨU TỪ BÀI NÀY</w:t>
      </w:r>
    </w:p>
    <w:p>
      <w:r>
        <w:rPr>
          <w:rFonts w:ascii="Times New Roman" w:hAnsi="Times New Roman"/>
          <w:b/>
          <w:color w:val="0070C0"/>
          <w:sz w:val="26"/>
        </w:rPr>
        <w:t>Gap 1 — Việt Nam chưa có nghiên cứu cohort dài hạn về SKTT thanh thiếu niên</w:t>
      </w:r>
    </w:p>
    <w:p>
      <w:r>
        <w:rPr>
          <w:rFonts w:ascii="Times New Roman" w:hAnsi="Times New Roman"/>
          <w:b w:val="0"/>
          <w:i w:val="0"/>
          <w:sz w:val="24"/>
        </w:rPr>
        <w:t>Z-proso (Thuỵ Sĩ) theo dõi 9 năm. ALSPAC (Anh) theo dõi 30 năm. Đại học Queensland (Úc) Cohort theo dõi 14 năm. Việt Nam: chưa có cohort dài hạn tương đương. Đây là khoảng trống nghiên cứu LỚN — cần Bộ KHCN / Quỹ NAFOSTED đầu tư.</w:t>
      </w:r>
    </w:p>
    <w:p>
      <w:r>
        <w:rPr>
          <w:rFonts w:ascii="Times New Roman" w:hAnsi="Times New Roman"/>
          <w:b/>
          <w:color w:val="0070C0"/>
          <w:sz w:val="26"/>
        </w:rPr>
        <w:t>Gap 2 — Thiếu thang đo Alabama Parenting Questionnaire (APQ) bản Việt</w:t>
      </w:r>
    </w:p>
    <w:p>
      <w:r>
        <w:rPr>
          <w:rFonts w:ascii="Times New Roman" w:hAnsi="Times New Roman"/>
          <w:b w:val="0"/>
          <w:i w:val="0"/>
          <w:sz w:val="24"/>
        </w:rPr>
        <w:t>APQ là thang đo chuẩn quốc tế đo nuôi dạy con (parenting practices). Chưa có phiên bản Việt được kiểm định. Cần dịch + back-translate + kiểm định cho mẫu Việt.</w:t>
      </w:r>
    </w:p>
    <w:p>
      <w:r>
        <w:rPr>
          <w:rFonts w:ascii="Times New Roman" w:hAnsi="Times New Roman"/>
          <w:b/>
          <w:color w:val="0070C0"/>
          <w:sz w:val="26"/>
        </w:rPr>
        <w:t>Gap 3 — Việt Nam chưa kiểm chứng giả thuyết MIỄN DỊCH TÂM LÝ</w:t>
      </w:r>
    </w:p>
    <w:p>
      <w:r>
        <w:rPr>
          <w:rFonts w:ascii="Times New Roman" w:hAnsi="Times New Roman"/>
          <w:b w:val="0"/>
          <w:i w:val="0"/>
          <w:sz w:val="24"/>
        </w:rPr>
        <w:t>Phát hiện inoculation ở Thuỵ Sĩ có lặp lại ở Việt Nam không? Đặc biệt trong context Việt Nam có nhiều khó khăn lịch sử (chiến tranh, hậu chiến, đói nghèo, COVID-19, kinh tế suy thoái). Có thể là chủ đề nghiên cứu rất có giá trị.</w:t>
      </w:r>
    </w:p>
    <w:p>
      <w:r>
        <w:rPr>
          <w:rFonts w:ascii="Times New Roman" w:hAnsi="Times New Roman"/>
          <w:b/>
          <w:color w:val="0070C0"/>
          <w:sz w:val="26"/>
        </w:rPr>
        <w:t>Gap 4 — Vai trò ÔNG BÀ trong tương tác hỗ trợ — chưa được Steinhoff đo</w:t>
      </w:r>
    </w:p>
    <w:p>
      <w:r>
        <w:rPr>
          <w:rFonts w:ascii="Times New Roman" w:hAnsi="Times New Roman"/>
          <w:b w:val="0"/>
          <w:i w:val="0"/>
          <w:sz w:val="24"/>
        </w:rPr>
        <w:t>Bài Steinhoff chỉ đo cha mẹ. Văn hoá Việt Nam có vai trò ÔNG BÀ trong nuôi dạy cháu rất mạnh — đặc biệt khi cha mẹ đi làm xa. Nghiên cứu Việt Nam cần đo CẢ tương tác cháu-ông-bà song song với cha-mẹ-con.</w:t>
      </w:r>
    </w:p>
    <w:p>
      <w:r>
        <w:rPr>
          <w:rFonts w:ascii="Times New Roman" w:hAnsi="Times New Roman"/>
          <w:b/>
          <w:color w:val="0070C0"/>
          <w:sz w:val="26"/>
        </w:rPr>
        <w:t>Gap 5 — Thiếu nghiên cứu can thiệp DỰA TRÊN bằng chứng này</w:t>
      </w:r>
    </w:p>
    <w:p>
      <w:r>
        <w:rPr>
          <w:rFonts w:ascii="Times New Roman" w:hAnsi="Times New Roman"/>
          <w:b w:val="0"/>
          <w:i w:val="0"/>
          <w:sz w:val="24"/>
        </w:rPr>
        <w:t>Nếu tương tác hỗ trợ tuổi 13 → ứng phó thích nghi tuổi 22, vậy can thiệp ĐÀO TẠO CHA MẸ ở tuổi vị thành niên sớm (lớp 6-8) có cải thiện ứng phó tuổi thanh niên không? Cần thử nghiệm có đối chứng ngẫu nhiên (RCT) — chưa ai làm ở Việt Nam.</w:t>
      </w:r>
    </w:p>
    <w:p>
      <w:r>
        <w:rPr>
          <w:rFonts w:ascii="Times New Roman" w:hAnsi="Times New Roman"/>
          <w:b/>
          <w:color w:val="0070C0"/>
          <w:sz w:val="26"/>
        </w:rPr>
        <w:t>Gap 6 — Tương tác giữa SES + nuôi dạy + outcomes</w:t>
      </w:r>
    </w:p>
    <w:p>
      <w:r>
        <w:rPr>
          <w:rFonts w:ascii="Times New Roman" w:hAnsi="Times New Roman"/>
          <w:b w:val="0"/>
          <w:i w:val="0"/>
          <w:sz w:val="24"/>
        </w:rPr>
        <w:t>Steinhoff phát hiện SES thấp → ứng phó thích nghi thấp. Nhưng SES + nuôi dạy có TƯƠNG TÁC nào không? Có thể nuôi dạy hỗ trợ BUFFER tác động xấu của SES thấp. Cần phân tích tương tác chi tiết hơn — đặc biệt quan trọng ở Việt Nam có khác biệt SES rõ rệt giữa thành thị-nông thôn-DTTS.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