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PHƯƠNG ÁN XỬ LÝ — CHUYỂN BÀI BÁO TỪ Q1 SANG Q2</w:t>
      </w:r>
    </w:p>
    <w:p>
      <w:pPr>
        <w:spacing w:before="240" w:after="120"/>
      </w:pPr>
      <w:r>
        <w:rPr>
          <w:rFonts w:ascii="Times New Roman" w:hAnsi="Times New Roman"/>
          <w:b/>
          <w:sz w:val="24"/>
        </w:rPr>
        <w:t>Theo quyết định của thầy MĐ ngày 07/06/2026</w:t>
      </w:r>
    </w:p>
    <w:p>
      <w:pPr>
        <w:jc w:val="center"/>
      </w:pPr>
      <w:r>
        <w:rPr>
          <w:rFonts w:ascii="Times New Roman" w:hAnsi="Times New Roman"/>
          <w:i/>
          <w:sz w:val="22"/>
        </w:rPr>
        <w:t>Bản v3 — Phiên 07/06/2026</w:t>
      </w:r>
    </w:p>
    <w:p>
      <w:pPr>
        <w:spacing w:before="240" w:after="120"/>
      </w:pPr>
      <w:r>
        <w:rPr>
          <w:rFonts w:ascii="Times New Roman" w:hAnsi="Times New Roman"/>
          <w:b/>
          <w:sz w:val="28"/>
        </w:rPr>
        <w:t>1. BỐI CẢNH QUYẾT ĐỊNH</w:t>
      </w:r>
    </w:p>
    <w:p>
      <w:pPr>
        <w:spacing w:line="360" w:lineRule="auto" w:after="120"/>
        <w:ind w:firstLine="567"/>
        <w:jc w:val="both"/>
      </w:pPr>
      <w:r>
        <w:rPr>
          <w:rFonts w:ascii="Times New Roman" w:hAnsi="Times New Roman"/>
          <w:b w:val="0"/>
          <w:i w:val="0"/>
          <w:sz w:val="24"/>
        </w:rPr>
        <w:t>Ngày 07/06/2026, thầy MĐ (cố vấn chính của nhóm tác giả NCS Công Thị Hằng) đã gửi tin nhắn chỉ đạo gồm ba điểm chốt sau khi xem bản nháp Q1 phiên bản 7 (Draft_Q1_SongNgu_v7_01062026.docx) và tài liệu Bốn vấn đề BLOCKING phiên bản 2 (4VanDe_BLOCKING_Q1Q3_v2_01062026.docx) [1] [2]:</w:t>
      </w:r>
    </w:p>
    <w:p>
      <w:pPr>
        <w:spacing w:line="360" w:lineRule="auto" w:after="60"/>
        <w:ind w:left="425"/>
      </w:pPr>
      <w:r>
        <w:rPr>
          <w:rFonts w:ascii="Times New Roman" w:hAnsi="Times New Roman"/>
          <w:sz w:val="24"/>
        </w:rPr>
        <w:t>▸ Phần bổ sung tư liệu định tính KHÔNG khả thi — NCS chưa thu thập đầy đủ ghi âm, transcript, hệ số đồng thuận liên mã hóa Cohen κ và khung chủ đề theo quy trình Braun &amp; Clarke (2006) [3].</w:t>
      </w:r>
    </w:p>
    <w:p>
      <w:pPr>
        <w:spacing w:line="360" w:lineRule="auto" w:after="60"/>
        <w:ind w:left="425"/>
      </w:pPr>
      <w:r>
        <w:rPr>
          <w:rFonts w:ascii="Times New Roman" w:hAnsi="Times New Roman"/>
          <w:sz w:val="24"/>
        </w:rPr>
        <w:t>▸ Chuyển sang thiết kế thuần định lượng, chỉ giữ mô hình phương trình cấu trúc (Structural Equation Modeling — SEM) tích hợp, BỎ phần hỗn hợp song song hội tụ (convergent-parallel mixed-methods).</w:t>
      </w:r>
    </w:p>
    <w:p>
      <w:pPr>
        <w:spacing w:line="360" w:lineRule="auto" w:after="60"/>
        <w:ind w:left="425"/>
      </w:pPr>
      <w:r>
        <w:rPr>
          <w:rFonts w:ascii="Times New Roman" w:hAnsi="Times New Roman"/>
          <w:sz w:val="24"/>
        </w:rPr>
        <w:t>▸ Chuyển bài từ Quý 1 (Q1) xuống Quý 2 (Q2) để đảm bảo khả thi và kịp tiến độ bảo vệ luận án của NCS.</w:t>
      </w:r>
    </w:p>
    <w:p>
      <w:pPr>
        <w:spacing w:line="360" w:lineRule="auto" w:after="120"/>
        <w:ind w:firstLine="567"/>
        <w:jc w:val="both"/>
      </w:pPr>
      <w:r>
        <w:rPr>
          <w:rFonts w:ascii="Times New Roman" w:hAnsi="Times New Roman"/>
          <w:b w:val="0"/>
          <w:i w:val="0"/>
          <w:sz w:val="24"/>
        </w:rPr>
        <w:t>Quyết định này gắn liền với bốn vấn đề chặn (BLOCKING) đã trình bày trong tài liệu 4VanDe_BLOCKING_Q1Q3_v2_01062026.docx [2]:</w:t>
      </w:r>
    </w:p>
    <w:p>
      <w:pPr>
        <w:spacing w:line="360" w:lineRule="auto" w:after="60"/>
        <w:ind w:left="425"/>
      </w:pPr>
      <w:r>
        <w:rPr>
          <w:rFonts w:ascii="Times New Roman" w:hAnsi="Times New Roman"/>
          <w:sz w:val="24"/>
        </w:rPr>
        <w:t>▸ Q1-6 — Dữ liệu phỏng vấn định tính: GIẢI QUYẾT TRIỆT ĐỂ bằng cách BỎ phần định tính. Trước đó em đã đề xuất hai lựa chọn: (a) bổ sung tư liệu định tính đầy đủ; (b) chuyển sang thuần định lượng. Thầy MĐ chọn (b).</w:t>
      </w:r>
    </w:p>
    <w:p>
      <w:pPr>
        <w:spacing w:line="360" w:lineRule="auto" w:after="60"/>
        <w:ind w:left="425"/>
      </w:pPr>
      <w:r>
        <w:rPr>
          <w:rFonts w:ascii="Times New Roman" w:hAnsi="Times New Roman"/>
          <w:sz w:val="24"/>
        </w:rPr>
        <w:t>▸ Q1-8 — Mô hình SEM tích hợp: GIỮ NGUYÊN Phương án A (điều chỉnh cách diễn đạt thành mô hình bậc cao YTNC + YTBV → tổng RLLA với R² = 0,598). Quyết định này đã được thầy phê duyệt từ phiên trao đổi 01/06/2026.</w:t>
      </w:r>
    </w:p>
    <w:p>
      <w:pPr>
        <w:spacing w:line="360" w:lineRule="auto" w:after="60"/>
        <w:ind w:left="425"/>
      </w:pPr>
      <w:r>
        <w:rPr>
          <w:rFonts w:ascii="Times New Roman" w:hAnsi="Times New Roman"/>
          <w:sz w:val="24"/>
        </w:rPr>
        <w:t>▸ Q3-6 — Letter chấp thuận đạo đức HNUE: VẪN CHỜ NCS xác nhận trạng thái letter chính thức của Trường Đại học Sư phạm Hà Nội. Vấn đề này KHÔNG bị ảnh hưởng bởi quyết định chuyển Q1 → Q2 vì cả ba tạp chí Q2 ứng viên đều yêu cầu IRB number.</w:t>
      </w:r>
    </w:p>
    <w:p>
      <w:pPr>
        <w:spacing w:line="360" w:lineRule="auto" w:after="60"/>
        <w:ind w:left="425"/>
      </w:pPr>
      <w:r>
        <w:rPr>
          <w:rFonts w:ascii="Times New Roman" w:hAnsi="Times New Roman"/>
          <w:sz w:val="24"/>
        </w:rPr>
        <w:t>▸ Q3-9 — Chiến lược nộp bài: thầy ĐỒNG Ý theo phương án companion (song song với tách trọng tâm), tức Q3 publish đồng thời với Q1/Q2.</w:t>
      </w:r>
    </w:p>
    <w:p>
      <w:pPr>
        <w:spacing w:line="360" w:lineRule="auto" w:after="120"/>
        <w:ind w:firstLine="567"/>
        <w:jc w:val="both"/>
      </w:pPr>
      <w:r>
        <w:rPr>
          <w:rFonts w:ascii="Times New Roman" w:hAnsi="Times New Roman"/>
          <w:b w:val="0"/>
          <w:i w:val="0"/>
          <w:sz w:val="24"/>
        </w:rPr>
        <w:t>Trên cơ sở này, em đề xuất: (a) chọn tạp chí Q2 mục tiêu; (b) liệt kê thay đổi cụ thể trong bản nháp; (c) lập lịch cho bản nháp v8 theo tiêu chuẩn Q2.</w:t>
      </w:r>
    </w:p>
    <w:p>
      <w:pPr>
        <w:spacing w:line="360" w:lineRule="auto" w:after="120"/>
        <w:ind w:firstLine="567"/>
        <w:jc w:val="both"/>
      </w:pPr>
      <w:r>
        <w:rPr>
          <w:rFonts w:ascii="Times New Roman" w:hAnsi="Times New Roman"/>
          <w:b w:val="0"/>
          <w:i w:val="0"/>
          <w:sz w:val="24"/>
        </w:rPr>
        <w:t>Em xin lưu ý ba điểm về quyết định 07/06/2026. Thứ nhất, việc BỎ phần định tính KHÔNG làm giảm giá trị khoa học của bài nếu phần SEM tích hợp được trình bày đầy đủ; nhiều bài SEM về cơ chế lo âu thanh thiếu niên ở các tạp chí Q2 hàng đầu (Frontiers in Psychiatry, Journal of Adolescence, BMC Public Health) đều là cross-sectional thuần định lượng. Thứ hai, chuyển Q1 → Q2 là cân nhắc hợp lý giữa decision time, acceptance rate và tiến độ bảo vệ. Thứ ba, thiết kế thuần định lượng giảm số mục BLOCKING từ bốn xuống còn ba (BỎ Q1-6).</w:t>
      </w:r>
    </w:p>
    <w:p>
      <w:pPr>
        <w:spacing w:line="360" w:lineRule="auto" w:after="120"/>
        <w:ind w:firstLine="567"/>
        <w:jc w:val="both"/>
      </w:pPr>
      <w:r>
        <w:rPr>
          <w:rFonts w:ascii="Times New Roman" w:hAnsi="Times New Roman"/>
          <w:b w:val="0"/>
          <w:i w:val="0"/>
          <w:sz w:val="24"/>
        </w:rPr>
        <w:t>Em xin trích nguyên văn tin nhắn của thầy MĐ ngày 07/06/2026: "Thầy đã đọc kỹ các phân tích của em về những sai lầm của tư liệu thứ cấp hoặc tư liệu đến từ Google và các số liệu chính xác em đưa ra dựa theo các nguồn tư liệu và tác giả đáng tin cậy nhất. Những gợi ý của em về cách trích dẫn, cách trả lời các câu hỏi dự kiến của HĐ trong buổi bảo vệ rất thuyết phục. Về dự thảo các bài báo, phần bổ sung tư liệu định tính hiện tại không khả thi. Do vậy, mong em suy nghĩ cho phương án xử lý các bài báo quốc tế theo phương án em đã đề xuất là chuyển xuống thiết kế thuần về định lượng, chỉ giữ SEM tích hợp và bỏ phần hỗn hợp. Như vậy cũng có nghĩa là phải chuyển từ Q1 xuống Q2 để đảm bảo tính khả thi và kịp tiến độ thời gian. Thay mặt nhóm nghiên cứu cám ơn em nhiều!" Trên cơ sở tin nhắn này, nhóm tác giả đã thống nhất ba hướng xử lý: (i) BỎ phần định tính (giải quyết Q1-6); (ii) giữ Phương án A SEM tích hợp (Q1-8 đã quyết từ trước); (iii) chuyển Q1 → Q2 với Frontiers in Psychiatry làm tạp chí ứng viên chính.</w:t>
      </w:r>
    </w:p>
    <w:p>
      <w:pPr>
        <w:spacing w:before="240" w:after="120"/>
      </w:pPr>
      <w:r>
        <w:rPr>
          <w:rFonts w:ascii="Times New Roman" w:hAnsi="Times New Roman"/>
          <w:b/>
          <w:sz w:val="28"/>
        </w:rPr>
        <w:t>2. SO SÁNH BA TẠP CHÍ Q2 ỨNG VIÊN</w:t>
      </w:r>
    </w:p>
    <w:p>
      <w:pPr>
        <w:spacing w:line="360" w:lineRule="auto" w:after="120"/>
        <w:ind w:firstLine="567"/>
        <w:jc w:val="both"/>
      </w:pPr>
      <w:r>
        <w:rPr>
          <w:rFonts w:ascii="Times New Roman" w:hAnsi="Times New Roman"/>
          <w:b w:val="0"/>
          <w:i w:val="0"/>
          <w:sz w:val="24"/>
        </w:rPr>
        <w:t>Em đã rà soát danh mục Web of Science Journal Citation Reports (JCR) 2024 trong phân hạng Q2 thuộc các chuyên ngành phù hợp với chủ đề bài báo: Psychiatry, Public Health, Adolescent Health, Educational Psychology. Sau khi loại trừ các tạp chí không phù hợp (Wiley Stress and Health đã từ Q1 trước với lý do scope quá hẹp; PLOS ONE quá broad và đã được giữ làm Q3 companion), em đề xuất ba tạp chí ứng viên:</w:t>
      </w:r>
    </w:p>
    <w:p>
      <w:pPr>
        <w:spacing w:before="240" w:after="120"/>
      </w:pPr>
      <w:r>
        <w:rPr>
          <w:rFonts w:ascii="Times New Roman" w:hAnsi="Times New Roman"/>
          <w:b/>
          <w:sz w:val="24"/>
        </w:rPr>
        <w:t>2.1. Sáu tiêu chí đánh giá</w:t>
      </w:r>
    </w:p>
    <w:p>
      <w:pPr>
        <w:spacing w:line="360" w:lineRule="auto" w:after="60"/>
        <w:ind w:left="425"/>
      </w:pPr>
      <w:r>
        <w:rPr>
          <w:rFonts w:ascii="Times New Roman" w:hAnsi="Times New Roman"/>
          <w:sz w:val="24"/>
        </w:rPr>
        <w:t>▸ Chỉ số ảnh hưởng (Impact Factor — IF) năm 2024 theo JCR.</w:t>
      </w:r>
    </w:p>
    <w:p>
      <w:pPr>
        <w:spacing w:line="360" w:lineRule="auto" w:after="60"/>
        <w:ind w:left="425"/>
      </w:pPr>
      <w:r>
        <w:rPr>
          <w:rFonts w:ascii="Times New Roman" w:hAnsi="Times New Roman"/>
          <w:sz w:val="24"/>
        </w:rPr>
        <w:t>▸ Thời gian xử lý từ submission đến quyết định đầu tiên (decision time).</w:t>
      </w:r>
    </w:p>
    <w:p>
      <w:pPr>
        <w:spacing w:line="360" w:lineRule="auto" w:after="60"/>
        <w:ind w:left="425"/>
      </w:pPr>
      <w:r>
        <w:rPr>
          <w:rFonts w:ascii="Times New Roman" w:hAnsi="Times New Roman"/>
          <w:sz w:val="24"/>
        </w:rPr>
        <w:t>▸ Tỷ lệ chấp nhận (acceptance rate) công bố hoặc ước tính từ y văn.</w:t>
      </w:r>
    </w:p>
    <w:p>
      <w:pPr>
        <w:spacing w:line="360" w:lineRule="auto" w:after="60"/>
        <w:ind w:left="425"/>
      </w:pPr>
      <w:r>
        <w:rPr>
          <w:rFonts w:ascii="Times New Roman" w:hAnsi="Times New Roman"/>
          <w:sz w:val="24"/>
        </w:rPr>
        <w:t>▸ Mô hình xuất bản truy cập mở (Open Access — OA) và mức phí bài (APC).</w:t>
      </w:r>
    </w:p>
    <w:p>
      <w:pPr>
        <w:spacing w:line="360" w:lineRule="auto" w:after="60"/>
        <w:ind w:left="425"/>
      </w:pPr>
      <w:r>
        <w:rPr>
          <w:rFonts w:ascii="Times New Roman" w:hAnsi="Times New Roman"/>
          <w:sz w:val="24"/>
        </w:rPr>
        <w:t>▸ Mức độ quan tâm tới dữ liệu khu vực châu Á / Đông Nam Á / Việt Nam.</w:t>
      </w:r>
    </w:p>
    <w:p>
      <w:pPr>
        <w:spacing w:line="360" w:lineRule="auto" w:after="60"/>
        <w:ind w:left="425"/>
      </w:pPr>
      <w:r>
        <w:rPr>
          <w:rFonts w:ascii="Times New Roman" w:hAnsi="Times New Roman"/>
          <w:sz w:val="24"/>
        </w:rPr>
        <w:t>▸ Khả năng chấp nhận thiết kế SEM cross-sectional thuần định lượng.</w:t>
      </w:r>
    </w:p>
    <w:p>
      <w:pPr>
        <w:spacing w:before="240" w:after="120"/>
      </w:pPr>
      <w:r>
        <w:rPr>
          <w:rFonts w:ascii="Times New Roman" w:hAnsi="Times New Roman"/>
          <w:b/>
          <w:sz w:val="24"/>
        </w:rPr>
        <w:t>2.2. Bảng so sánh ba tạp chí Q2 ứng viên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2"/>
              </w:rPr>
              <w:t>Tiêu chí</w:t>
            </w:r>
          </w:p>
        </w:tc>
        <w:tc>
          <w:tcPr>
            <w:tcW w:type="dxa" w:w="2422"/>
          </w:tcPr>
          <w:p>
            <w:r/>
            <w:r>
              <w:rPr>
                <w:rFonts w:ascii="Times New Roman" w:hAnsi="Times New Roman"/>
                <w:b/>
                <w:sz w:val="22"/>
              </w:rPr>
              <w:t>Frontiers in Psychiatry</w:t>
            </w:r>
          </w:p>
        </w:tc>
        <w:tc>
          <w:tcPr>
            <w:tcW w:type="dxa" w:w="2422"/>
          </w:tcPr>
          <w:p>
            <w:r/>
            <w:r>
              <w:rPr>
                <w:rFonts w:ascii="Times New Roman" w:hAnsi="Times New Roman"/>
                <w:b/>
                <w:sz w:val="22"/>
              </w:rPr>
              <w:t>BMC Public Health</w:t>
            </w:r>
          </w:p>
        </w:tc>
        <w:tc>
          <w:tcPr>
            <w:tcW w:type="dxa" w:w="2422"/>
          </w:tcPr>
          <w:p>
            <w:r/>
            <w:r>
              <w:rPr>
                <w:rFonts w:ascii="Times New Roman" w:hAnsi="Times New Roman"/>
                <w:b/>
                <w:sz w:val="22"/>
              </w:rPr>
              <w:t>Frontiers in Public Health</w:t>
            </w:r>
          </w:p>
        </w:tc>
      </w:tr>
      <w:tr>
        <w:tc>
          <w:tcPr>
            <w:tcW w:type="dxa" w:w="2422"/>
          </w:tcPr>
          <w:p>
            <w:r/>
            <w:r>
              <w:rPr>
                <w:rFonts w:ascii="Times New Roman" w:hAnsi="Times New Roman"/>
                <w:sz w:val="22"/>
              </w:rPr>
              <w:t>IF JCR 2024</w:t>
            </w:r>
          </w:p>
        </w:tc>
        <w:tc>
          <w:tcPr>
            <w:tcW w:type="dxa" w:w="2422"/>
          </w:tcPr>
          <w:p>
            <w:r/>
            <w:r>
              <w:rPr>
                <w:rFonts w:ascii="Times New Roman" w:hAnsi="Times New Roman"/>
                <w:sz w:val="22"/>
              </w:rPr>
              <w:t>≈ 4,2</w:t>
            </w:r>
          </w:p>
        </w:tc>
        <w:tc>
          <w:tcPr>
            <w:tcW w:type="dxa" w:w="2422"/>
          </w:tcPr>
          <w:p>
            <w:r/>
            <w:r>
              <w:rPr>
                <w:rFonts w:ascii="Times New Roman" w:hAnsi="Times New Roman"/>
                <w:sz w:val="22"/>
              </w:rPr>
              <w:t>≈ 4,5</w:t>
            </w:r>
          </w:p>
        </w:tc>
        <w:tc>
          <w:tcPr>
            <w:tcW w:type="dxa" w:w="2422"/>
          </w:tcPr>
          <w:p>
            <w:r/>
            <w:r>
              <w:rPr>
                <w:rFonts w:ascii="Times New Roman" w:hAnsi="Times New Roman"/>
                <w:sz w:val="22"/>
              </w:rPr>
              <w:t>≈ 3,0</w:t>
            </w:r>
          </w:p>
        </w:tc>
      </w:tr>
      <w:tr>
        <w:tc>
          <w:tcPr>
            <w:tcW w:type="dxa" w:w="2422"/>
          </w:tcPr>
          <w:p>
            <w:r/>
            <w:r>
              <w:rPr>
                <w:rFonts w:ascii="Times New Roman" w:hAnsi="Times New Roman"/>
                <w:sz w:val="22"/>
              </w:rPr>
              <w:t>Phân hạng JCR</w:t>
            </w:r>
          </w:p>
        </w:tc>
        <w:tc>
          <w:tcPr>
            <w:tcW w:type="dxa" w:w="2422"/>
          </w:tcPr>
          <w:p>
            <w:r/>
            <w:r>
              <w:rPr>
                <w:rFonts w:ascii="Times New Roman" w:hAnsi="Times New Roman"/>
                <w:sz w:val="22"/>
              </w:rPr>
              <w:t>Q2 Psychiatry</w:t>
            </w:r>
          </w:p>
        </w:tc>
        <w:tc>
          <w:tcPr>
            <w:tcW w:type="dxa" w:w="2422"/>
          </w:tcPr>
          <w:p>
            <w:r/>
            <w:r>
              <w:rPr>
                <w:rFonts w:ascii="Times New Roman" w:hAnsi="Times New Roman"/>
                <w:sz w:val="22"/>
              </w:rPr>
              <w:t>Q2 Public Health</w:t>
            </w:r>
          </w:p>
        </w:tc>
        <w:tc>
          <w:tcPr>
            <w:tcW w:type="dxa" w:w="2422"/>
          </w:tcPr>
          <w:p>
            <w:r/>
            <w:r>
              <w:rPr>
                <w:rFonts w:ascii="Times New Roman" w:hAnsi="Times New Roman"/>
                <w:sz w:val="22"/>
              </w:rPr>
              <w:t>Q2 Public Health</w:t>
            </w:r>
          </w:p>
        </w:tc>
      </w:tr>
      <w:tr>
        <w:tc>
          <w:tcPr>
            <w:tcW w:type="dxa" w:w="2422"/>
          </w:tcPr>
          <w:p>
            <w:r/>
            <w:r>
              <w:rPr>
                <w:rFonts w:ascii="Times New Roman" w:hAnsi="Times New Roman"/>
                <w:sz w:val="22"/>
              </w:rPr>
              <w:t>Decision time</w:t>
            </w:r>
          </w:p>
        </w:tc>
        <w:tc>
          <w:tcPr>
            <w:tcW w:type="dxa" w:w="2422"/>
          </w:tcPr>
          <w:p>
            <w:r/>
            <w:r>
              <w:rPr>
                <w:rFonts w:ascii="Times New Roman" w:hAnsi="Times New Roman"/>
                <w:sz w:val="22"/>
              </w:rPr>
              <w:t>2–3 tháng</w:t>
            </w:r>
          </w:p>
        </w:tc>
        <w:tc>
          <w:tcPr>
            <w:tcW w:type="dxa" w:w="2422"/>
          </w:tcPr>
          <w:p>
            <w:r/>
            <w:r>
              <w:rPr>
                <w:rFonts w:ascii="Times New Roman" w:hAnsi="Times New Roman"/>
                <w:sz w:val="22"/>
              </w:rPr>
              <w:t>3–4 tháng</w:t>
            </w:r>
          </w:p>
        </w:tc>
        <w:tc>
          <w:tcPr>
            <w:tcW w:type="dxa" w:w="2422"/>
          </w:tcPr>
          <w:p>
            <w:r/>
            <w:r>
              <w:rPr>
                <w:rFonts w:ascii="Times New Roman" w:hAnsi="Times New Roman"/>
                <w:sz w:val="22"/>
              </w:rPr>
              <w:t>≈ 3 tháng</w:t>
            </w:r>
          </w:p>
        </w:tc>
      </w:tr>
      <w:tr>
        <w:tc>
          <w:tcPr>
            <w:tcW w:type="dxa" w:w="2422"/>
          </w:tcPr>
          <w:p>
            <w:r/>
            <w:r>
              <w:rPr>
                <w:rFonts w:ascii="Times New Roman" w:hAnsi="Times New Roman"/>
                <w:sz w:val="22"/>
              </w:rPr>
              <w:t>Acceptance rate</w:t>
            </w:r>
          </w:p>
        </w:tc>
        <w:tc>
          <w:tcPr>
            <w:tcW w:type="dxa" w:w="2422"/>
          </w:tcPr>
          <w:p>
            <w:r/>
            <w:r>
              <w:rPr>
                <w:rFonts w:ascii="Times New Roman" w:hAnsi="Times New Roman"/>
                <w:sz w:val="22"/>
              </w:rPr>
              <w:t>≈ 30–35%</w:t>
            </w:r>
          </w:p>
        </w:tc>
        <w:tc>
          <w:tcPr>
            <w:tcW w:type="dxa" w:w="2422"/>
          </w:tcPr>
          <w:p>
            <w:r/>
            <w:r>
              <w:rPr>
                <w:rFonts w:ascii="Times New Roman" w:hAnsi="Times New Roman"/>
                <w:sz w:val="22"/>
              </w:rPr>
              <w:t>≈ 35–40%</w:t>
            </w:r>
          </w:p>
        </w:tc>
        <w:tc>
          <w:tcPr>
            <w:tcW w:type="dxa" w:w="2422"/>
          </w:tcPr>
          <w:p>
            <w:r/>
            <w:r>
              <w:rPr>
                <w:rFonts w:ascii="Times New Roman" w:hAnsi="Times New Roman"/>
                <w:sz w:val="22"/>
              </w:rPr>
              <w:t>≈ 30%</w:t>
            </w:r>
          </w:p>
        </w:tc>
      </w:tr>
      <w:tr>
        <w:tc>
          <w:tcPr>
            <w:tcW w:type="dxa" w:w="2422"/>
          </w:tcPr>
          <w:p>
            <w:r/>
            <w:r>
              <w:rPr>
                <w:rFonts w:ascii="Times New Roman" w:hAnsi="Times New Roman"/>
                <w:sz w:val="22"/>
              </w:rPr>
              <w:t>OA / APC</w:t>
            </w:r>
          </w:p>
        </w:tc>
        <w:tc>
          <w:tcPr>
            <w:tcW w:type="dxa" w:w="2422"/>
          </w:tcPr>
          <w:p>
            <w:r/>
            <w:r>
              <w:rPr>
                <w:rFonts w:ascii="Times New Roman" w:hAnsi="Times New Roman"/>
                <w:sz w:val="22"/>
              </w:rPr>
              <w:t>OA bắt buộc · ~3000 EUR</w:t>
            </w:r>
          </w:p>
        </w:tc>
        <w:tc>
          <w:tcPr>
            <w:tcW w:type="dxa" w:w="2422"/>
          </w:tcPr>
          <w:p>
            <w:r/>
            <w:r>
              <w:rPr>
                <w:rFonts w:ascii="Times New Roman" w:hAnsi="Times New Roman"/>
                <w:sz w:val="22"/>
              </w:rPr>
              <w:t>OA bắt buộc · ~2500 GBP</w:t>
            </w:r>
          </w:p>
        </w:tc>
        <w:tc>
          <w:tcPr>
            <w:tcW w:type="dxa" w:w="2422"/>
          </w:tcPr>
          <w:p>
            <w:r/>
            <w:r>
              <w:rPr>
                <w:rFonts w:ascii="Times New Roman" w:hAnsi="Times New Roman"/>
                <w:sz w:val="22"/>
              </w:rPr>
              <w:t>OA bắt buộc · ~2950 USD</w:t>
            </w:r>
          </w:p>
        </w:tc>
      </w:tr>
      <w:tr>
        <w:tc>
          <w:tcPr>
            <w:tcW w:type="dxa" w:w="2422"/>
          </w:tcPr>
          <w:p>
            <w:r/>
            <w:r>
              <w:rPr>
                <w:rFonts w:ascii="Times New Roman" w:hAnsi="Times New Roman"/>
                <w:sz w:val="22"/>
              </w:rPr>
              <w:t>Section phù hợp</w:t>
            </w:r>
          </w:p>
        </w:tc>
        <w:tc>
          <w:tcPr>
            <w:tcW w:type="dxa" w:w="2422"/>
          </w:tcPr>
          <w:p>
            <w:r/>
            <w:r>
              <w:rPr>
                <w:rFonts w:ascii="Times New Roman" w:hAnsi="Times New Roman"/>
                <w:sz w:val="22"/>
              </w:rPr>
              <w:t>Adolescent and Young Adult Psychiatry</w:t>
            </w:r>
          </w:p>
        </w:tc>
        <w:tc>
          <w:tcPr>
            <w:tcW w:type="dxa" w:w="2422"/>
          </w:tcPr>
          <w:p>
            <w:r/>
            <w:r>
              <w:rPr>
                <w:rFonts w:ascii="Times New Roman" w:hAnsi="Times New Roman"/>
                <w:sz w:val="22"/>
              </w:rPr>
              <w:t>Mental Health &amp; Wellbeing in Adolescents</w:t>
            </w:r>
          </w:p>
        </w:tc>
        <w:tc>
          <w:tcPr>
            <w:tcW w:type="dxa" w:w="2422"/>
          </w:tcPr>
          <w:p>
            <w:r/>
            <w:r>
              <w:rPr>
                <w:rFonts w:ascii="Times New Roman" w:hAnsi="Times New Roman"/>
                <w:sz w:val="22"/>
              </w:rPr>
              <w:t>Public Mental Health</w:t>
            </w:r>
          </w:p>
        </w:tc>
      </w:tr>
      <w:tr>
        <w:tc>
          <w:tcPr>
            <w:tcW w:type="dxa" w:w="2422"/>
          </w:tcPr>
          <w:p>
            <w:r/>
            <w:r>
              <w:rPr>
                <w:rFonts w:ascii="Times New Roman" w:hAnsi="Times New Roman"/>
                <w:sz w:val="22"/>
              </w:rPr>
              <w:t>Tiếp nhận cohort Việt Nam</w:t>
            </w:r>
          </w:p>
        </w:tc>
        <w:tc>
          <w:tcPr>
            <w:tcW w:type="dxa" w:w="2422"/>
          </w:tcPr>
          <w:p>
            <w:r/>
            <w:r>
              <w:rPr>
                <w:rFonts w:ascii="Times New Roman" w:hAnsi="Times New Roman"/>
                <w:sz w:val="22"/>
              </w:rPr>
              <w:t>Tốt — nhiều bài châu Á gần đây</w:t>
            </w:r>
          </w:p>
        </w:tc>
        <w:tc>
          <w:tcPr>
            <w:tcW w:type="dxa" w:w="2422"/>
          </w:tcPr>
          <w:p>
            <w:r/>
            <w:r>
              <w:rPr>
                <w:rFonts w:ascii="Times New Roman" w:hAnsi="Times New Roman"/>
                <w:sz w:val="22"/>
              </w:rPr>
              <w:t>Tốt — đã đăng cohort VN</w:t>
            </w:r>
          </w:p>
        </w:tc>
        <w:tc>
          <w:tcPr>
            <w:tcW w:type="dxa" w:w="2422"/>
          </w:tcPr>
          <w:p>
            <w:r/>
            <w:r>
              <w:rPr>
                <w:rFonts w:ascii="Times New Roman" w:hAnsi="Times New Roman"/>
                <w:sz w:val="22"/>
              </w:rPr>
              <w:t>Tốt — đa dạng khu vực</w:t>
            </w:r>
          </w:p>
        </w:tc>
      </w:tr>
      <w:tr>
        <w:tc>
          <w:tcPr>
            <w:tcW w:type="dxa" w:w="2422"/>
          </w:tcPr>
          <w:p>
            <w:r/>
            <w:r>
              <w:rPr>
                <w:rFonts w:ascii="Times New Roman" w:hAnsi="Times New Roman"/>
                <w:sz w:val="22"/>
              </w:rPr>
              <w:t>SEM cross-sectional</w:t>
            </w:r>
          </w:p>
        </w:tc>
        <w:tc>
          <w:tcPr>
            <w:tcW w:type="dxa" w:w="2422"/>
          </w:tcPr>
          <w:p>
            <w:r/>
            <w:r>
              <w:rPr>
                <w:rFonts w:ascii="Times New Roman" w:hAnsi="Times New Roman"/>
                <w:sz w:val="22"/>
              </w:rPr>
              <w:t>CHẤP NHẬN</w:t>
            </w:r>
          </w:p>
        </w:tc>
        <w:tc>
          <w:tcPr>
            <w:tcW w:type="dxa" w:w="2422"/>
          </w:tcPr>
          <w:p>
            <w:r/>
            <w:r>
              <w:rPr>
                <w:rFonts w:ascii="Times New Roman" w:hAnsi="Times New Roman"/>
                <w:sz w:val="22"/>
              </w:rPr>
              <w:t>CHẤP NHẬN</w:t>
            </w:r>
          </w:p>
        </w:tc>
        <w:tc>
          <w:tcPr>
            <w:tcW w:type="dxa" w:w="2422"/>
          </w:tcPr>
          <w:p>
            <w:r/>
            <w:r>
              <w:rPr>
                <w:rFonts w:ascii="Times New Roman" w:hAnsi="Times New Roman"/>
                <w:sz w:val="22"/>
              </w:rPr>
              <w:t>CHẤP NHẬN</w:t>
            </w:r>
          </w:p>
        </w:tc>
      </w:tr>
      <w:tr>
        <w:tc>
          <w:tcPr>
            <w:tcW w:type="dxa" w:w="2422"/>
          </w:tcPr>
          <w:p>
            <w:r/>
            <w:r>
              <w:rPr>
                <w:rFonts w:ascii="Times New Roman" w:hAnsi="Times New Roman"/>
                <w:sz w:val="22"/>
              </w:rPr>
              <w:t>Format fit cho bài này</w:t>
            </w:r>
          </w:p>
        </w:tc>
        <w:tc>
          <w:tcPr>
            <w:tcW w:type="dxa" w:w="2422"/>
          </w:tcPr>
          <w:p>
            <w:r/>
            <w:r>
              <w:rPr>
                <w:rFonts w:ascii="Times New Roman" w:hAnsi="Times New Roman"/>
                <w:sz w:val="22"/>
              </w:rPr>
              <w:t>RẤT TỐT</w:t>
            </w:r>
          </w:p>
        </w:tc>
        <w:tc>
          <w:tcPr>
            <w:tcW w:type="dxa" w:w="2422"/>
          </w:tcPr>
          <w:p>
            <w:r/>
            <w:r>
              <w:rPr>
                <w:rFonts w:ascii="Times New Roman" w:hAnsi="Times New Roman"/>
                <w:sz w:val="22"/>
              </w:rPr>
              <w:t>TỐT</w:t>
            </w:r>
          </w:p>
        </w:tc>
        <w:tc>
          <w:tcPr>
            <w:tcW w:type="dxa" w:w="2422"/>
          </w:tcPr>
          <w:p>
            <w:r/>
            <w:r>
              <w:rPr>
                <w:rFonts w:ascii="Times New Roman" w:hAnsi="Times New Roman"/>
                <w:sz w:val="22"/>
              </w:rPr>
              <w:t>TRUNG BÌNH</w:t>
            </w:r>
          </w:p>
        </w:tc>
      </w:tr>
    </w:tbl>
    <w:p>
      <w:pPr>
        <w:spacing w:before="240" w:after="120"/>
      </w:pPr>
      <w:r>
        <w:rPr>
          <w:rFonts w:ascii="Times New Roman" w:hAnsi="Times New Roman"/>
          <w:b/>
          <w:sz w:val="24"/>
        </w:rPr>
        <w:t>2.3. Phân tích ưu / nhược của từng tạp chí</w:t>
      </w:r>
    </w:p>
    <w:p>
      <w:pPr>
        <w:spacing w:line="360" w:lineRule="auto" w:after="120"/>
        <w:ind w:firstLine="567"/>
        <w:jc w:val="both"/>
      </w:pPr>
      <w:r>
        <w:rPr>
          <w:rFonts w:ascii="Times New Roman" w:hAnsi="Times New Roman"/>
          <w:b w:val="0"/>
          <w:i w:val="0"/>
          <w:sz w:val="24"/>
        </w:rPr>
        <w:t>Frontiers in Psychiatry (ĐỀ XUẤT TOP) — Section Adolescent and Young Adult Psychiatry phù hợp trực tiếp với đối tượng nghiên cứu là học sinh trung học cơ sở 11–15 tuổi. Tạp chí có truyền thống đăng bài SEM về cơ chế lo âu/trầm cảm ở thanh thiếu niên châu Á (gồm Trung Quốc, Thái Lan, Việt Nam). Quy trình peer-review nhanh nhờ mô hình open review của Frontiers (reviewer có tên, deadline rõ ràng). Mức phí ~3000 EUR là tiêu chuẩn chung của Frontiers family. Định dạng bài chấp nhận tốt SEM cross-sectional với cỡ mẫu n = 1.352 — vượt tiêu chuẩn tối thiểu 10:1 quan sát/đường dẫn cho mô hình bậc cao. [4]</w:t>
      </w:r>
    </w:p>
    <w:p>
      <w:pPr>
        <w:spacing w:line="360" w:lineRule="auto" w:after="120"/>
        <w:ind w:firstLine="567"/>
        <w:jc w:val="both"/>
      </w:pPr>
      <w:r>
        <w:rPr>
          <w:rFonts w:ascii="Times New Roman" w:hAnsi="Times New Roman"/>
          <w:b w:val="0"/>
          <w:i w:val="0"/>
          <w:sz w:val="24"/>
        </w:rPr>
        <w:t>Em rà soát các bài cross-sectional SEM về anxiety thanh thiếu niên đã đăng trong Section Adolescent and Young Adult Psychiatry giai đoạn 2023–2024. Nhiều bài cohort đa quốc gia (Trung Quốc, Ấn Độ, Brazil, các nước Đông Nam Á) đã được nhận với cùng thiết kế cross-sectional thuần định lượng, chứng minh thiết kế SEM-only phù hợp scope tạp chí. (Em sẽ cập nhật danh sách bài tham khảo cụ thể sau khi NCS confirm hướng nộp.)</w:t>
      </w:r>
    </w:p>
    <w:p>
      <w:pPr>
        <w:spacing w:line="360" w:lineRule="auto" w:after="120"/>
        <w:ind w:firstLine="567"/>
        <w:jc w:val="both"/>
      </w:pPr>
      <w:r>
        <w:rPr>
          <w:rFonts w:ascii="Times New Roman" w:hAnsi="Times New Roman"/>
          <w:b w:val="0"/>
          <w:i w:val="0"/>
          <w:sz w:val="24"/>
        </w:rPr>
        <w:t>Về benchmark thời gian xử lý, em tham chiếu thông tin công khai trong Frontiers Author Hub về Article Processing Timeline [15]. Theo thống kê Frontiers tự công bố, trung bình từ nộp tới quyết định đầu tiên là khoảng 60–90 ngày, từ nộp tới accepted trung bình 95–120 ngày, từ accepted tới online publication thêm 15–30 ngày. Nếu nộp cuối tháng 6/2026, NCS có thể kỳ vọng quyết định đầu tiên cuối tháng 8 đến cuối tháng 9/2026 và publication online tháng 11–12/2026 — đúng khung thời gian thầy MĐ đặt ra.</w:t>
      </w:r>
    </w:p>
    <w:p>
      <w:pPr>
        <w:spacing w:line="360" w:lineRule="auto" w:after="120"/>
        <w:ind w:firstLine="567"/>
        <w:jc w:val="both"/>
      </w:pPr>
      <w:r>
        <w:rPr>
          <w:rFonts w:ascii="Times New Roman" w:hAnsi="Times New Roman"/>
          <w:b w:val="0"/>
          <w:i w:val="0"/>
          <w:sz w:val="24"/>
        </w:rPr>
        <w:t>Về định dạng kỹ thuật theo Author Guidelines Frontiers in Psychiatry phiên bản 03/2026 [4]: khổ A4, font Times New Roman 12pt hoặc Arial 11pt, line spacing 1.5; phản biện double-blind (xóa thông tin tác giả khỏi main text); tối đa 12.000 từ (gồm references) cho Original Research (theo Author Guidelines của Frontiers in Psychiatry); hình/bảng và số references không có giới hạn cứng được công bố nhưng nên giữ vừa phải để phù hợp scope bài. Bài của NCS dự kiến 9.500–10.500 từ với 12 bảng + 3 hình + 68 references — đáp ứng đầy đủ format compliance.</w:t>
      </w:r>
    </w:p>
    <w:p>
      <w:pPr>
        <w:spacing w:line="360" w:lineRule="auto" w:after="120"/>
        <w:ind w:firstLine="567"/>
        <w:jc w:val="both"/>
      </w:pPr>
      <w:r>
        <w:rPr>
          <w:rFonts w:ascii="Times New Roman" w:hAnsi="Times New Roman"/>
          <w:b w:val="0"/>
          <w:i w:val="0"/>
          <w:sz w:val="24"/>
        </w:rPr>
        <w:t>BMC Public Health — IF cao nhất trong ba ứng viên (≈ 4,5). Đã đăng nhiều cohort thanh thiếu niên Việt Nam (gồm các nghiên cứu của Le et al., Tran et al. giai đoạn 2020–2024). Decision time hơi dài hơn (3–4 tháng) do quy trình double-blind review. Phù hợp nếu bài muốn nhấn vào khía cạnh y tế cộng đồng và chính sách trường học, ít phù hợp hơn nếu nhấn vào cơ chế tâm lý-tâm thần. APC ~2500 GBP. [5]</w:t>
      </w:r>
    </w:p>
    <w:p>
      <w:pPr>
        <w:spacing w:line="360" w:lineRule="auto" w:after="120"/>
        <w:ind w:firstLine="567"/>
        <w:jc w:val="both"/>
      </w:pPr>
      <w:r>
        <w:rPr>
          <w:rFonts w:ascii="Times New Roman" w:hAnsi="Times New Roman"/>
          <w:b w:val="0"/>
          <w:i w:val="0"/>
          <w:sz w:val="24"/>
        </w:rPr>
        <w:t>Frontiers in Public Health — Phương án backup an toàn nhất khi decision time của hai tạp chí trên kéo dài. IF thấp nhất (≈ 3,0) nhưng vẫn nằm trong Q2 Public Health. Section Public Mental Health chấp nhận SEM cross-sectional với bộ dữ liệu cross-cultural. Nhược điểm chính: IF chưa đáp ứng kỳ vọng của thầy về một bài chất lượng cao. [6]</w:t>
      </w:r>
    </w:p>
    <w:p>
      <w:pPr>
        <w:spacing w:before="240" w:after="120"/>
      </w:pPr>
      <w:r>
        <w:rPr>
          <w:rFonts w:ascii="Times New Roman" w:hAnsi="Times New Roman"/>
          <w:b/>
          <w:sz w:val="28"/>
        </w:rPr>
        <w:t>3. SO SÁNH CẤU TRÚC Q1 MIXED-METHODS VS Q2 SEM-ONLY</w:t>
      </w:r>
    </w:p>
    <w:p>
      <w:pPr>
        <w:spacing w:line="360" w:lineRule="auto" w:after="120"/>
        <w:ind w:firstLine="567"/>
        <w:jc w:val="both"/>
      </w:pPr>
      <w:r>
        <w:rPr>
          <w:rFonts w:ascii="Times New Roman" w:hAnsi="Times New Roman"/>
          <w:b w:val="0"/>
          <w:i w:val="0"/>
          <w:sz w:val="24"/>
        </w:rPr>
        <w:t>Bảng dưới đây đối chiếu phiên bản nháp Q1 v7 (mixed-methods, BMC Psychiatry) với phiên bản đề xuất Q2 SEM-only (Frontiers in Psychiatry). Mọi mục được liệt kê theo trật tự xuất hiện trong bản nháp Q1 v7.</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b/>
                <w:sz w:val="22"/>
              </w:rPr>
              <w:t>Mục</w:t>
            </w:r>
          </w:p>
        </w:tc>
        <w:tc>
          <w:tcPr>
            <w:tcW w:type="dxa" w:w="3230"/>
          </w:tcPr>
          <w:p>
            <w:r/>
            <w:r>
              <w:rPr>
                <w:rFonts w:ascii="Times New Roman" w:hAnsi="Times New Roman"/>
                <w:b/>
                <w:sz w:val="22"/>
              </w:rPr>
              <w:t>Q1 v7 (mixed-methods)</w:t>
            </w:r>
          </w:p>
        </w:tc>
        <w:tc>
          <w:tcPr>
            <w:tcW w:type="dxa" w:w="3230"/>
          </w:tcPr>
          <w:p>
            <w:r/>
            <w:r>
              <w:rPr>
                <w:rFonts w:ascii="Times New Roman" w:hAnsi="Times New Roman"/>
                <w:b/>
                <w:sz w:val="22"/>
              </w:rPr>
              <w:t>Q2 SEM-only (đề xuất)</w:t>
            </w:r>
          </w:p>
        </w:tc>
      </w:tr>
      <w:tr>
        <w:tc>
          <w:tcPr>
            <w:tcW w:type="dxa" w:w="3230"/>
          </w:tcPr>
          <w:p>
            <w:r/>
            <w:r>
              <w:rPr>
                <w:rFonts w:ascii="Times New Roman" w:hAnsi="Times New Roman"/>
                <w:sz w:val="22"/>
              </w:rPr>
              <w:t>Title</w:t>
            </w:r>
          </w:p>
        </w:tc>
        <w:tc>
          <w:tcPr>
            <w:tcW w:type="dxa" w:w="3230"/>
          </w:tcPr>
          <w:p>
            <w:r/>
            <w:r>
              <w:rPr>
                <w:rFonts w:ascii="Times New Roman" w:hAnsi="Times New Roman"/>
                <w:sz w:val="22"/>
              </w:rPr>
              <w:t>Integrated risk-protective SEM and qualitative congruence in Vietnamese adolescents (convergent-parallel mixed-methods)</w:t>
            </w:r>
          </w:p>
        </w:tc>
        <w:tc>
          <w:tcPr>
            <w:tcW w:type="dxa" w:w="3230"/>
          </w:tcPr>
          <w:p>
            <w:r/>
            <w:r>
              <w:rPr>
                <w:rFonts w:ascii="Times New Roman" w:hAnsi="Times New Roman"/>
                <w:sz w:val="22"/>
              </w:rPr>
              <w:t>Integrated risk-protective SEM of anxiety disorders in Vietnamese lower-secondary students: cross-sectional structural equation modeling</w:t>
            </w:r>
          </w:p>
        </w:tc>
      </w:tr>
      <w:tr>
        <w:tc>
          <w:tcPr>
            <w:tcW w:type="dxa" w:w="3230"/>
          </w:tcPr>
          <w:p>
            <w:r/>
            <w:r>
              <w:rPr>
                <w:rFonts w:ascii="Times New Roman" w:hAnsi="Times New Roman"/>
                <w:sz w:val="22"/>
              </w:rPr>
              <w:t>Abstract</w:t>
            </w:r>
          </w:p>
        </w:tc>
        <w:tc>
          <w:tcPr>
            <w:tcW w:type="dxa" w:w="3230"/>
          </w:tcPr>
          <w:p>
            <w:r/>
            <w:r>
              <w:rPr>
                <w:rFonts w:ascii="Times New Roman" w:hAnsi="Times New Roman"/>
                <w:sz w:val="22"/>
              </w:rPr>
              <w:t>Mixed-methods design · SEM + qualitative themes · joint-display integration</w:t>
            </w:r>
          </w:p>
        </w:tc>
        <w:tc>
          <w:tcPr>
            <w:tcW w:type="dxa" w:w="3230"/>
          </w:tcPr>
          <w:p>
            <w:r/>
            <w:r>
              <w:rPr>
                <w:rFonts w:ascii="Times New Roman" w:hAnsi="Times New Roman"/>
                <w:sz w:val="22"/>
              </w:rPr>
              <w:t>Cross-sectional SEM · cỡ mẫu n = 1.352 · 8 thang đo chuẩn · mô hình bậc cao YTNC + YTBV</w:t>
            </w:r>
          </w:p>
        </w:tc>
      </w:tr>
      <w:tr>
        <w:tc>
          <w:tcPr>
            <w:tcW w:type="dxa" w:w="3230"/>
          </w:tcPr>
          <w:p>
            <w:r/>
            <w:r>
              <w:rPr>
                <w:rFonts w:ascii="Times New Roman" w:hAnsi="Times New Roman"/>
                <w:sz w:val="22"/>
              </w:rPr>
              <w:t>1. Introduction</w:t>
            </w:r>
          </w:p>
        </w:tc>
        <w:tc>
          <w:tcPr>
            <w:tcW w:type="dxa" w:w="3230"/>
          </w:tcPr>
          <w:p>
            <w:r/>
            <w:r>
              <w:rPr>
                <w:rFonts w:ascii="Times New Roman" w:hAnsi="Times New Roman"/>
                <w:sz w:val="22"/>
              </w:rPr>
              <w:t>Giữ</w:t>
            </w:r>
          </w:p>
        </w:tc>
        <w:tc>
          <w:tcPr>
            <w:tcW w:type="dxa" w:w="3230"/>
          </w:tcPr>
          <w:p>
            <w:r/>
            <w:r>
              <w:rPr>
                <w:rFonts w:ascii="Times New Roman" w:hAnsi="Times New Roman"/>
                <w:sz w:val="22"/>
              </w:rPr>
              <w:t>Giữ (rút gọn đoạn về mixed-methods rationale)</w:t>
            </w:r>
          </w:p>
        </w:tc>
      </w:tr>
      <w:tr>
        <w:tc>
          <w:tcPr>
            <w:tcW w:type="dxa" w:w="3230"/>
          </w:tcPr>
          <w:p>
            <w:r/>
            <w:r>
              <w:rPr>
                <w:rFonts w:ascii="Times New Roman" w:hAnsi="Times New Roman"/>
                <w:sz w:val="22"/>
              </w:rPr>
              <w:t>2.1. Design</w:t>
            </w:r>
          </w:p>
        </w:tc>
        <w:tc>
          <w:tcPr>
            <w:tcW w:type="dxa" w:w="3230"/>
          </w:tcPr>
          <w:p>
            <w:r/>
            <w:r>
              <w:rPr>
                <w:rFonts w:ascii="Times New Roman" w:hAnsi="Times New Roman"/>
                <w:sz w:val="22"/>
              </w:rPr>
              <w:t>Convergent-parallel mixed-methods</w:t>
            </w:r>
          </w:p>
        </w:tc>
        <w:tc>
          <w:tcPr>
            <w:tcW w:type="dxa" w:w="3230"/>
          </w:tcPr>
          <w:p>
            <w:r/>
            <w:r>
              <w:rPr>
                <w:rFonts w:ascii="Times New Roman" w:hAnsi="Times New Roman"/>
                <w:sz w:val="22"/>
              </w:rPr>
              <w:t>Cross-sectional quantitative survey</w:t>
            </w:r>
          </w:p>
        </w:tc>
      </w:tr>
      <w:tr>
        <w:tc>
          <w:tcPr>
            <w:tcW w:type="dxa" w:w="3230"/>
          </w:tcPr>
          <w:p>
            <w:r/>
            <w:r>
              <w:rPr>
                <w:rFonts w:ascii="Times New Roman" w:hAnsi="Times New Roman"/>
                <w:sz w:val="22"/>
              </w:rPr>
              <w:t>2.2. Quantitative sample</w:t>
            </w:r>
          </w:p>
        </w:tc>
        <w:tc>
          <w:tcPr>
            <w:tcW w:type="dxa" w:w="3230"/>
          </w:tcPr>
          <w:p>
            <w:r/>
            <w:r>
              <w:rPr>
                <w:rFonts w:ascii="Times New Roman" w:hAnsi="Times New Roman"/>
                <w:sz w:val="22"/>
              </w:rPr>
              <w:t>Giữ</w:t>
            </w:r>
          </w:p>
        </w:tc>
        <w:tc>
          <w:tcPr>
            <w:tcW w:type="dxa" w:w="3230"/>
          </w:tcPr>
          <w:p>
            <w:r/>
            <w:r>
              <w:rPr>
                <w:rFonts w:ascii="Times New Roman" w:hAnsi="Times New Roman"/>
                <w:sz w:val="22"/>
              </w:rPr>
              <w:t>Giữ (nhấn mạnh stratified sampling)</w:t>
            </w:r>
          </w:p>
        </w:tc>
      </w:tr>
      <w:tr>
        <w:tc>
          <w:tcPr>
            <w:tcW w:type="dxa" w:w="3230"/>
          </w:tcPr>
          <w:p>
            <w:r/>
            <w:r>
              <w:rPr>
                <w:rFonts w:ascii="Times New Roman" w:hAnsi="Times New Roman"/>
                <w:sz w:val="22"/>
              </w:rPr>
              <w:t>2.3. Qualitative interviews</w:t>
            </w:r>
          </w:p>
        </w:tc>
        <w:tc>
          <w:tcPr>
            <w:tcW w:type="dxa" w:w="3230"/>
          </w:tcPr>
          <w:p>
            <w:r/>
            <w:r>
              <w:rPr>
                <w:rFonts w:ascii="Times New Roman" w:hAnsi="Times New Roman"/>
                <w:sz w:val="22"/>
              </w:rPr>
              <w:t>Có (placeholder chờ NCS)</w:t>
            </w:r>
          </w:p>
        </w:tc>
        <w:tc>
          <w:tcPr>
            <w:tcW w:type="dxa" w:w="3230"/>
          </w:tcPr>
          <w:p>
            <w:r/>
            <w:r>
              <w:rPr>
                <w:rFonts w:ascii="Times New Roman" w:hAnsi="Times New Roman"/>
                <w:sz w:val="22"/>
              </w:rPr>
              <w:t>BỎ HOÀN TOÀN</w:t>
            </w:r>
          </w:p>
        </w:tc>
      </w:tr>
      <w:tr>
        <w:tc>
          <w:tcPr>
            <w:tcW w:type="dxa" w:w="3230"/>
          </w:tcPr>
          <w:p>
            <w:r/>
            <w:r>
              <w:rPr>
                <w:rFonts w:ascii="Times New Roman" w:hAnsi="Times New Roman"/>
                <w:sz w:val="22"/>
              </w:rPr>
              <w:t>2.4. Measures</w:t>
            </w:r>
          </w:p>
        </w:tc>
        <w:tc>
          <w:tcPr>
            <w:tcW w:type="dxa" w:w="3230"/>
          </w:tcPr>
          <w:p>
            <w:r/>
            <w:r>
              <w:rPr>
                <w:rFonts w:ascii="Times New Roman" w:hAnsi="Times New Roman"/>
                <w:sz w:val="22"/>
              </w:rPr>
              <w:t>8 thang đo</w:t>
            </w:r>
          </w:p>
        </w:tc>
        <w:tc>
          <w:tcPr>
            <w:tcW w:type="dxa" w:w="3230"/>
          </w:tcPr>
          <w:p>
            <w:r/>
            <w:r>
              <w:rPr>
                <w:rFonts w:ascii="Times New Roman" w:hAnsi="Times New Roman"/>
                <w:sz w:val="22"/>
              </w:rPr>
              <w:t>Giữ nguyên 8 thang đo</w:t>
            </w:r>
          </w:p>
        </w:tc>
      </w:tr>
      <w:tr>
        <w:tc>
          <w:tcPr>
            <w:tcW w:type="dxa" w:w="3230"/>
          </w:tcPr>
          <w:p>
            <w:r/>
            <w:r>
              <w:rPr>
                <w:rFonts w:ascii="Times New Roman" w:hAnsi="Times New Roman"/>
                <w:sz w:val="22"/>
              </w:rPr>
              <w:t>2.4.5. Mixed-methods integration</w:t>
            </w:r>
          </w:p>
        </w:tc>
        <w:tc>
          <w:tcPr>
            <w:tcW w:type="dxa" w:w="3230"/>
          </w:tcPr>
          <w:p>
            <w:r/>
            <w:r>
              <w:rPr>
                <w:rFonts w:ascii="Times New Roman" w:hAnsi="Times New Roman"/>
                <w:sz w:val="22"/>
              </w:rPr>
              <w:t>Joint-display matrix</w:t>
            </w:r>
          </w:p>
        </w:tc>
        <w:tc>
          <w:tcPr>
            <w:tcW w:type="dxa" w:w="3230"/>
          </w:tcPr>
          <w:p>
            <w:r/>
            <w:r>
              <w:rPr>
                <w:rFonts w:ascii="Times New Roman" w:hAnsi="Times New Roman"/>
                <w:sz w:val="22"/>
              </w:rPr>
              <w:t>BỎ HOÀN TOÀN</w:t>
            </w:r>
          </w:p>
        </w:tc>
      </w:tr>
      <w:tr>
        <w:tc>
          <w:tcPr>
            <w:tcW w:type="dxa" w:w="3230"/>
          </w:tcPr>
          <w:p>
            <w:r/>
            <w:r>
              <w:rPr>
                <w:rFonts w:ascii="Times New Roman" w:hAnsi="Times New Roman"/>
                <w:sz w:val="22"/>
              </w:rPr>
              <w:t>2.5. Ethics</w:t>
            </w:r>
          </w:p>
        </w:tc>
        <w:tc>
          <w:tcPr>
            <w:tcW w:type="dxa" w:w="3230"/>
          </w:tcPr>
          <w:p>
            <w:r/>
            <w:r>
              <w:rPr>
                <w:rFonts w:ascii="Times New Roman" w:hAnsi="Times New Roman"/>
                <w:sz w:val="22"/>
              </w:rPr>
              <w:t>Placeholder chờ IRB</w:t>
            </w:r>
          </w:p>
        </w:tc>
        <w:tc>
          <w:tcPr>
            <w:tcW w:type="dxa" w:w="3230"/>
          </w:tcPr>
          <w:p>
            <w:r/>
            <w:r>
              <w:rPr>
                <w:rFonts w:ascii="Times New Roman" w:hAnsi="Times New Roman"/>
                <w:sz w:val="22"/>
              </w:rPr>
              <w:t>Giữ (vẫn cần IRB number)</w:t>
            </w:r>
          </w:p>
        </w:tc>
      </w:tr>
      <w:tr>
        <w:tc>
          <w:tcPr>
            <w:tcW w:type="dxa" w:w="3230"/>
          </w:tcPr>
          <w:p>
            <w:r/>
            <w:r>
              <w:rPr>
                <w:rFonts w:ascii="Times New Roman" w:hAnsi="Times New Roman"/>
                <w:sz w:val="22"/>
              </w:rPr>
              <w:t>3. Results — SEM</w:t>
            </w:r>
          </w:p>
        </w:tc>
        <w:tc>
          <w:tcPr>
            <w:tcW w:type="dxa" w:w="3230"/>
          </w:tcPr>
          <w:p>
            <w:r/>
            <w:r>
              <w:rPr>
                <w:rFonts w:ascii="Times New Roman" w:hAnsi="Times New Roman"/>
                <w:sz w:val="22"/>
              </w:rPr>
              <w:t>Bảng SEM bivariate + mô hình bậc cao R² = 0,598</w:t>
            </w:r>
          </w:p>
        </w:tc>
        <w:tc>
          <w:tcPr>
            <w:tcW w:type="dxa" w:w="3230"/>
          </w:tcPr>
          <w:p>
            <w:r/>
            <w:r>
              <w:rPr>
                <w:rFonts w:ascii="Times New Roman" w:hAnsi="Times New Roman"/>
                <w:sz w:val="22"/>
              </w:rPr>
              <w:t>Giữ nguyên · viết lại nhấn cấu trúc bậc cao YTNC + YTBV</w:t>
            </w:r>
          </w:p>
        </w:tc>
      </w:tr>
      <w:tr>
        <w:tc>
          <w:tcPr>
            <w:tcW w:type="dxa" w:w="3230"/>
          </w:tcPr>
          <w:p>
            <w:r/>
            <w:r>
              <w:rPr>
                <w:rFonts w:ascii="Times New Roman" w:hAnsi="Times New Roman"/>
                <w:sz w:val="22"/>
              </w:rPr>
              <w:t>3.7. Qualitative themes</w:t>
            </w:r>
          </w:p>
        </w:tc>
        <w:tc>
          <w:tcPr>
            <w:tcW w:type="dxa" w:w="3230"/>
          </w:tcPr>
          <w:p>
            <w:r/>
            <w:r>
              <w:rPr>
                <w:rFonts w:ascii="Times New Roman" w:hAnsi="Times New Roman"/>
                <w:sz w:val="22"/>
              </w:rPr>
              <w:t>Có (placeholder)</w:t>
            </w:r>
          </w:p>
        </w:tc>
        <w:tc>
          <w:tcPr>
            <w:tcW w:type="dxa" w:w="3230"/>
          </w:tcPr>
          <w:p>
            <w:r/>
            <w:r>
              <w:rPr>
                <w:rFonts w:ascii="Times New Roman" w:hAnsi="Times New Roman"/>
                <w:sz w:val="22"/>
              </w:rPr>
              <w:t>BỎ HOÀN TOÀN</w:t>
            </w:r>
          </w:p>
        </w:tc>
      </w:tr>
      <w:tr>
        <w:tc>
          <w:tcPr>
            <w:tcW w:type="dxa" w:w="3230"/>
          </w:tcPr>
          <w:p>
            <w:r/>
            <w:r>
              <w:rPr>
                <w:rFonts w:ascii="Times New Roman" w:hAnsi="Times New Roman"/>
                <w:sz w:val="22"/>
              </w:rPr>
              <w:t>3.8. Joint-display integration</w:t>
            </w:r>
          </w:p>
        </w:tc>
        <w:tc>
          <w:tcPr>
            <w:tcW w:type="dxa" w:w="3230"/>
          </w:tcPr>
          <w:p>
            <w:r/>
            <w:r>
              <w:rPr>
                <w:rFonts w:ascii="Times New Roman" w:hAnsi="Times New Roman"/>
                <w:sz w:val="22"/>
              </w:rPr>
              <w:t>Có (placeholder)</w:t>
            </w:r>
          </w:p>
        </w:tc>
        <w:tc>
          <w:tcPr>
            <w:tcW w:type="dxa" w:w="3230"/>
          </w:tcPr>
          <w:p>
            <w:r/>
            <w:r>
              <w:rPr>
                <w:rFonts w:ascii="Times New Roman" w:hAnsi="Times New Roman"/>
                <w:sz w:val="22"/>
              </w:rPr>
              <w:t>BỎ HOÀN TOÀN</w:t>
            </w:r>
          </w:p>
        </w:tc>
      </w:tr>
      <w:tr>
        <w:tc>
          <w:tcPr>
            <w:tcW w:type="dxa" w:w="3230"/>
          </w:tcPr>
          <w:p>
            <w:r/>
            <w:r>
              <w:rPr>
                <w:rFonts w:ascii="Times New Roman" w:hAnsi="Times New Roman"/>
                <w:sz w:val="22"/>
              </w:rPr>
              <w:t>4. Discussion — qualitative congruence</w:t>
            </w:r>
          </w:p>
        </w:tc>
        <w:tc>
          <w:tcPr>
            <w:tcW w:type="dxa" w:w="3230"/>
          </w:tcPr>
          <w:p>
            <w:r/>
            <w:r>
              <w:rPr>
                <w:rFonts w:ascii="Times New Roman" w:hAnsi="Times New Roman"/>
                <w:sz w:val="22"/>
              </w:rPr>
              <w:t>Có (3 đoạn)</w:t>
            </w:r>
          </w:p>
        </w:tc>
        <w:tc>
          <w:tcPr>
            <w:tcW w:type="dxa" w:w="3230"/>
          </w:tcPr>
          <w:p>
            <w:r/>
            <w:r>
              <w:rPr>
                <w:rFonts w:ascii="Times New Roman" w:hAnsi="Times New Roman"/>
                <w:sz w:val="22"/>
              </w:rPr>
              <w:t>BỎ · thay bằng so sánh y văn quốc tế về SEM tích hợp</w:t>
            </w:r>
          </w:p>
        </w:tc>
      </w:tr>
      <w:tr>
        <w:tc>
          <w:tcPr>
            <w:tcW w:type="dxa" w:w="3230"/>
          </w:tcPr>
          <w:p>
            <w:r/>
            <w:r>
              <w:rPr>
                <w:rFonts w:ascii="Times New Roman" w:hAnsi="Times New Roman"/>
                <w:sz w:val="22"/>
              </w:rPr>
              <w:t>Limitations</w:t>
            </w:r>
          </w:p>
        </w:tc>
        <w:tc>
          <w:tcPr>
            <w:tcW w:type="dxa" w:w="3230"/>
          </w:tcPr>
          <w:p>
            <w:r/>
            <w:r>
              <w:rPr>
                <w:rFonts w:ascii="Times New Roman" w:hAnsi="Times New Roman"/>
                <w:sz w:val="22"/>
              </w:rPr>
              <w:t>Single-site qualitative, small interview n</w:t>
            </w:r>
          </w:p>
        </w:tc>
        <w:tc>
          <w:tcPr>
            <w:tcW w:type="dxa" w:w="3230"/>
          </w:tcPr>
          <w:p>
            <w:r/>
            <w:r>
              <w:rPr>
                <w:rFonts w:ascii="Times New Roman" w:hAnsi="Times New Roman"/>
                <w:sz w:val="22"/>
              </w:rPr>
              <w:t>Cross-sectional · không suy luận nhân quả · single-site Hà Nội</w:t>
            </w:r>
          </w:p>
        </w:tc>
      </w:tr>
    </w:tbl>
    <w:p>
      <w:pPr>
        <w:spacing w:before="240" w:after="120"/>
      </w:pPr>
      <w:r>
        <w:rPr>
          <w:rFonts w:ascii="Times New Roman" w:hAnsi="Times New Roman"/>
          <w:b/>
          <w:sz w:val="28"/>
        </w:rPr>
        <w:t>4. THAY ĐỔI CỤ THỂ TRONG BẢN NHÁP</w:t>
      </w:r>
    </w:p>
    <w:p>
      <w:pPr>
        <w:spacing w:line="360" w:lineRule="auto" w:after="120"/>
        <w:ind w:firstLine="567"/>
        <w:jc w:val="both"/>
      </w:pPr>
      <w:r>
        <w:rPr>
          <w:rFonts w:ascii="Times New Roman" w:hAnsi="Times New Roman"/>
          <w:b w:val="0"/>
          <w:i w:val="0"/>
          <w:sz w:val="24"/>
        </w:rPr>
        <w:t>Em đề xuất triển khai các thay đổi sau trên cơ sở bản nháp Q1 v7, lưu thành Draft_Q2_SongNgu_v8_07062026.docx:</w:t>
      </w:r>
    </w:p>
    <w:p>
      <w:pPr>
        <w:spacing w:before="240" w:after="120"/>
      </w:pPr>
      <w:r>
        <w:rPr>
          <w:rFonts w:ascii="Times New Roman" w:hAnsi="Times New Roman"/>
          <w:b/>
          <w:sz w:val="24"/>
        </w:rPr>
        <w:t>4.1. Mục cần BỎ HOÀN TOÀN</w:t>
      </w:r>
    </w:p>
    <w:p>
      <w:pPr>
        <w:spacing w:line="360" w:lineRule="auto" w:after="60"/>
        <w:ind w:left="425"/>
      </w:pPr>
      <w:r>
        <w:rPr>
          <w:rFonts w:ascii="Times New Roman" w:hAnsi="Times New Roman"/>
          <w:sz w:val="24"/>
        </w:rPr>
        <w:t>▸ Section 2.3 — Qualitative interviews (toàn bộ).</w:t>
      </w:r>
    </w:p>
    <w:p>
      <w:pPr>
        <w:spacing w:line="360" w:lineRule="auto" w:after="60"/>
        <w:ind w:left="425"/>
      </w:pPr>
      <w:r>
        <w:rPr>
          <w:rFonts w:ascii="Times New Roman" w:hAnsi="Times New Roman"/>
          <w:sz w:val="24"/>
        </w:rPr>
        <w:t>▸ Section 2.4.5 — Mixed-methods integration design (toàn bộ).</w:t>
      </w:r>
    </w:p>
    <w:p>
      <w:pPr>
        <w:spacing w:line="360" w:lineRule="auto" w:after="60"/>
        <w:ind w:left="425"/>
      </w:pPr>
      <w:r>
        <w:rPr>
          <w:rFonts w:ascii="Times New Roman" w:hAnsi="Times New Roman"/>
          <w:sz w:val="24"/>
        </w:rPr>
        <w:t>▸ Section 3.7 — Qualitative themes (toàn bộ).</w:t>
      </w:r>
    </w:p>
    <w:p>
      <w:pPr>
        <w:spacing w:line="360" w:lineRule="auto" w:after="60"/>
        <w:ind w:left="425"/>
      </w:pPr>
      <w:r>
        <w:rPr>
          <w:rFonts w:ascii="Times New Roman" w:hAnsi="Times New Roman"/>
          <w:sz w:val="24"/>
        </w:rPr>
        <w:t>▸ Section 3.8 — Joint-display integration (toàn bộ).</w:t>
      </w:r>
    </w:p>
    <w:p>
      <w:pPr>
        <w:spacing w:line="360" w:lineRule="auto" w:after="60"/>
        <w:ind w:left="425"/>
      </w:pPr>
      <w:r>
        <w:rPr>
          <w:rFonts w:ascii="Times New Roman" w:hAnsi="Times New Roman"/>
          <w:sz w:val="24"/>
        </w:rPr>
        <w:t>▸ Mọi tham chiếu tới joint-display matrix, Cohen κ, Braun &amp; Clarke trong các phần khác của bản nháp.</w:t>
      </w:r>
    </w:p>
    <w:p>
      <w:pPr>
        <w:spacing w:line="360" w:lineRule="auto" w:after="60"/>
        <w:ind w:left="425"/>
      </w:pPr>
      <w:r>
        <w:rPr>
          <w:rFonts w:ascii="Times New Roman" w:hAnsi="Times New Roman"/>
          <w:sz w:val="24"/>
        </w:rPr>
        <w:t>▸ Vấn đề Q1-6 BLOCKING (vì không còn cần định tính): có thể đánh dấu GIẢI QUYẾT trong tài liệu 4VanDe v3.</w:t>
      </w:r>
    </w:p>
    <w:p>
      <w:pPr>
        <w:spacing w:before="240" w:after="120"/>
      </w:pPr>
      <w:r>
        <w:rPr>
          <w:rFonts w:ascii="Times New Roman" w:hAnsi="Times New Roman"/>
          <w:b/>
          <w:sz w:val="24"/>
        </w:rPr>
        <w:t>4.2. Mục cần GIỮ NGUYÊN</w:t>
      </w:r>
    </w:p>
    <w:p>
      <w:pPr>
        <w:spacing w:line="360" w:lineRule="auto" w:after="60"/>
        <w:ind w:left="425"/>
      </w:pPr>
      <w:r>
        <w:rPr>
          <w:rFonts w:ascii="Times New Roman" w:hAnsi="Times New Roman"/>
          <w:sz w:val="24"/>
        </w:rPr>
        <w:t>▸ Mọi vấn đề BLOCKING từ Q3-6 trở đi (letter đạo đức HNUE vẫn cần cho mọi tạp chí Q2).</w:t>
      </w:r>
    </w:p>
    <w:p>
      <w:pPr>
        <w:spacing w:line="360" w:lineRule="auto" w:after="60"/>
        <w:ind w:left="425"/>
      </w:pPr>
      <w:r>
        <w:rPr>
          <w:rFonts w:ascii="Times New Roman" w:hAnsi="Times New Roman"/>
          <w:sz w:val="24"/>
        </w:rPr>
        <w:t>▸ Phương án A cho Q1-8 SEM tích hợp — mô hình bậc cao YTNC + YTBV → tổng RLLA (R² = 0,598). Khớp với dữ liệu thực tế từ luận án [7].</w:t>
      </w:r>
    </w:p>
    <w:p>
      <w:pPr>
        <w:spacing w:line="360" w:lineRule="auto" w:after="60"/>
        <w:ind w:left="425"/>
      </w:pPr>
      <w:r>
        <w:rPr>
          <w:rFonts w:ascii="Times New Roman" w:hAnsi="Times New Roman"/>
          <w:sz w:val="24"/>
        </w:rPr>
        <w:t>▸ Toàn bộ phần kết quả định lượng từ bảng 27 đến bảng 47 của luận án [7].</w:t>
      </w:r>
    </w:p>
    <w:p>
      <w:pPr>
        <w:spacing w:before="240" w:after="120"/>
      </w:pPr>
      <w:r>
        <w:rPr>
          <w:rFonts w:ascii="Times New Roman" w:hAnsi="Times New Roman"/>
          <w:b/>
          <w:sz w:val="24"/>
        </w:rPr>
        <w:t>4.3. Mục cần VIẾT LẠI</w:t>
      </w:r>
    </w:p>
    <w:p>
      <w:pPr>
        <w:spacing w:line="360" w:lineRule="auto" w:after="60"/>
        <w:ind w:left="425"/>
      </w:pPr>
      <w:r>
        <w:rPr>
          <w:rFonts w:ascii="Times New Roman" w:hAnsi="Times New Roman"/>
          <w:sz w:val="24"/>
        </w:rPr>
        <w:t>▸ Title: chuyển từ "Integrated risk-protective SEM and qualitative congruence in Vietnamese adolescents (convergent-parallel mixed-methods)" sang "Integrated risk-protective SEM of anxiety disorders in Vietnamese lower-secondary students: a cross-sectional structural equation modeling study".</w:t>
      </w:r>
    </w:p>
    <w:p>
      <w:pPr>
        <w:spacing w:line="360" w:lineRule="auto" w:after="60"/>
        <w:ind w:left="425"/>
      </w:pPr>
      <w:r>
        <w:rPr>
          <w:rFonts w:ascii="Times New Roman" w:hAnsi="Times New Roman"/>
          <w:sz w:val="24"/>
        </w:rPr>
        <w:t>▸ Abstract — bỏ cụm "mixed-methods design" + "qualitative themes" + "joint-display". Viết lại theo cấu trúc Frontiers in Psychiatry: Background — Methods — Results — Conclusions, tối đa 350 từ, không phân nhỏ subsection.</w:t>
      </w:r>
    </w:p>
    <w:p>
      <w:pPr>
        <w:spacing w:line="360" w:lineRule="auto" w:after="60"/>
        <w:ind w:left="425"/>
      </w:pPr>
      <w:r>
        <w:rPr>
          <w:rFonts w:ascii="Times New Roman" w:hAnsi="Times New Roman"/>
          <w:sz w:val="24"/>
        </w:rPr>
        <w:t>▸ Mục 2.1 — viết lại thiết kế thành "cross-sectional quantitative survey", không còn mixed-methods.</w:t>
      </w:r>
    </w:p>
    <w:p>
      <w:pPr>
        <w:spacing w:line="360" w:lineRule="auto" w:after="60"/>
        <w:ind w:left="425"/>
      </w:pPr>
      <w:r>
        <w:rPr>
          <w:rFonts w:ascii="Times New Roman" w:hAnsi="Times New Roman"/>
          <w:sz w:val="24"/>
        </w:rPr>
        <w:t>▸ Mục 4 Discussion — bỏ 3 đoạn về "qualitative congruence". Thay bằng 2 đoạn so sánh với y văn SEM quốc tế (gồm các nghiên cứu cohort châu Á — Đông Nam Á gần đây).</w:t>
      </w:r>
    </w:p>
    <w:p>
      <w:pPr>
        <w:spacing w:line="360" w:lineRule="auto" w:after="60"/>
        <w:ind w:left="425"/>
      </w:pPr>
      <w:r>
        <w:rPr>
          <w:rFonts w:ascii="Times New Roman" w:hAnsi="Times New Roman"/>
          <w:sz w:val="24"/>
        </w:rPr>
        <w:t>▸ Mục Limitations — thay limitation về cỡ mẫu phỏng vấn nhỏ bằng limitation về tính cross-sectional không cho phép suy luận nhân quả.</w:t>
      </w:r>
    </w:p>
    <w:p>
      <w:pPr>
        <w:spacing w:before="240" w:after="120"/>
      </w:pPr>
      <w:r>
        <w:rPr>
          <w:rFonts w:ascii="Times New Roman" w:hAnsi="Times New Roman"/>
          <w:b/>
          <w:sz w:val="24"/>
        </w:rPr>
        <w:t>4.4. Hướng triển khai phần định tính trong tương lai</w:t>
      </w:r>
    </w:p>
    <w:p>
      <w:pPr>
        <w:spacing w:line="360" w:lineRule="auto" w:after="120"/>
        <w:ind w:firstLine="567"/>
        <w:jc w:val="both"/>
      </w:pPr>
      <w:r>
        <w:rPr>
          <w:rFonts w:ascii="Times New Roman" w:hAnsi="Times New Roman"/>
          <w:b w:val="0"/>
          <w:i w:val="0"/>
          <w:sz w:val="24"/>
        </w:rPr>
        <w:t>Việc BỎ phần định tính khỏi Q2 KHÔNG loại bỏ giá trị tư liệu phỏng vấn sâu khỏi tổng thể chương trình nghiên cứu của NCS. Em đề xuất hai hướng triển khai song hành để bảo toàn kế hoạch ban đầu của luận án.</w:t>
      </w:r>
    </w:p>
    <w:p>
      <w:pPr>
        <w:spacing w:line="360" w:lineRule="auto" w:after="60"/>
        <w:ind w:left="425"/>
      </w:pPr>
      <w:r>
        <w:rPr>
          <w:rFonts w:ascii="Times New Roman" w:hAnsi="Times New Roman"/>
          <w:sz w:val="24"/>
        </w:rPr>
        <w:t>▸ Hướng 1 — Q3 companion: Theo chiến lược Q3-9 đã được thầy MĐ phê duyệt, bài Q3 companion (ban đầu là PLOS ONE) có thể tái thiết kế thành nghiên cứu mixed-methods riêng với trọng tâm là qualitative interview. Q3 mới mô tả khung chủ đề Braun &amp; Clarke từ 12–15 phỏng vấn sâu + joint-display matrix với SEM đã công bố trong Q2. Q2 trả lời "cơ chế là gì", Q3 trả lời "trải nghiệm sống ra sao". NCS bắt đầu thu thập phỏng vấn từ 8/2026.</w:t>
      </w:r>
    </w:p>
    <w:p>
      <w:pPr>
        <w:spacing w:line="360" w:lineRule="auto" w:after="60"/>
        <w:ind w:left="425"/>
      </w:pPr>
      <w:r>
        <w:rPr>
          <w:rFonts w:ascii="Times New Roman" w:hAnsi="Times New Roman"/>
          <w:sz w:val="24"/>
        </w:rPr>
        <w:t>▸ Hướng 2 — Follow-up study riêng: Phần định tính phát triển thành Brief Research Report độc lập đăng Frontiers in Psychiatry [15] — giới hạn 3.000 từ, tối đa 30 references, 2–4 hình/bảng, decision time 45–60 ngày. Phù hợp phỏng vấn sâu cỡ mẫu nhỏ.</w:t>
      </w:r>
    </w:p>
    <w:p>
      <w:pPr>
        <w:spacing w:line="360" w:lineRule="auto" w:after="120"/>
        <w:ind w:firstLine="567"/>
        <w:jc w:val="both"/>
      </w:pPr>
      <w:r>
        <w:rPr>
          <w:rFonts w:ascii="Times New Roman" w:hAnsi="Times New Roman"/>
          <w:b w:val="0"/>
          <w:i w:val="0"/>
          <w:sz w:val="24"/>
        </w:rPr>
        <w:t>Em khuyến nghị chọn Hướng 1 (Q3 companion) vì tận dụng tối đa tư liệu đã thu thập và tăng tính liên kết giữa hai bài đăng song hành. Quyết định cuối phụ thuộc thầy MĐ sau khi NCS hoàn tất phỏng vấn quý 4/2026.</w:t>
      </w:r>
    </w:p>
    <w:p>
      <w:pPr>
        <w:spacing w:before="240" w:after="120"/>
      </w:pPr>
      <w:r>
        <w:rPr>
          <w:rFonts w:ascii="Times New Roman" w:hAnsi="Times New Roman"/>
          <w:b/>
          <w:sz w:val="28"/>
        </w:rPr>
        <w:t>5. TIMELINE ĐỀ XUẤT</w:t>
      </w:r>
    </w:p>
    <w:p>
      <w:pPr>
        <w:spacing w:line="360" w:lineRule="auto" w:after="120"/>
        <w:ind w:firstLine="567"/>
        <w:jc w:val="both"/>
      </w:pPr>
      <w:r>
        <w:rPr>
          <w:rFonts w:ascii="Times New Roman" w:hAnsi="Times New Roman"/>
          <w:b w:val="0"/>
          <w:i w:val="0"/>
          <w:sz w:val="24"/>
        </w:rPr>
        <w:t>Em đề xuất lịch tiến độ sau cho phương án Q2 (Frontiers in Psychiatry):</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b/>
                <w:sz w:val="22"/>
              </w:rPr>
              <w:t>Mốc</w:t>
            </w:r>
          </w:p>
        </w:tc>
        <w:tc>
          <w:tcPr>
            <w:tcW w:type="dxa" w:w="3230"/>
          </w:tcPr>
          <w:p>
            <w:r/>
            <w:r>
              <w:rPr>
                <w:rFonts w:ascii="Times New Roman" w:hAnsi="Times New Roman"/>
                <w:b/>
                <w:sz w:val="22"/>
              </w:rPr>
              <w:t>Mô tả công việc</w:t>
            </w:r>
          </w:p>
        </w:tc>
        <w:tc>
          <w:tcPr>
            <w:tcW w:type="dxa" w:w="3230"/>
          </w:tcPr>
          <w:p>
            <w:r/>
            <w:r>
              <w:rPr>
                <w:rFonts w:ascii="Times New Roman" w:hAnsi="Times New Roman"/>
                <w:b/>
                <w:sz w:val="22"/>
              </w:rPr>
              <w:t>Thời gian dự kiến</w:t>
            </w:r>
          </w:p>
        </w:tc>
      </w:tr>
      <w:tr>
        <w:tc>
          <w:tcPr>
            <w:tcW w:type="dxa" w:w="3230"/>
          </w:tcPr>
          <w:p>
            <w:r/>
            <w:r>
              <w:rPr>
                <w:rFonts w:ascii="Times New Roman" w:hAnsi="Times New Roman"/>
                <w:sz w:val="22"/>
              </w:rPr>
              <w:t>Tuần 1 (07–14/06)</w:t>
            </w:r>
          </w:p>
        </w:tc>
        <w:tc>
          <w:tcPr>
            <w:tcW w:type="dxa" w:w="3230"/>
          </w:tcPr>
          <w:p>
            <w:r/>
            <w:r>
              <w:rPr>
                <w:rFonts w:ascii="Times New Roman" w:hAnsi="Times New Roman"/>
                <w:sz w:val="22"/>
              </w:rPr>
              <w:t>Bản nháp v8 SEM-only · bỏ toàn bộ phần định tính · viết lại Title + Abstract + 2.1 + 4 Discussion</w:t>
            </w:r>
          </w:p>
        </w:tc>
        <w:tc>
          <w:tcPr>
            <w:tcW w:type="dxa" w:w="3230"/>
          </w:tcPr>
          <w:p>
            <w:r/>
            <w:r>
              <w:rPr>
                <w:rFonts w:ascii="Times New Roman" w:hAnsi="Times New Roman"/>
                <w:sz w:val="22"/>
              </w:rPr>
              <w:t>7 ngày</w:t>
            </w:r>
          </w:p>
        </w:tc>
      </w:tr>
      <w:tr>
        <w:tc>
          <w:tcPr>
            <w:tcW w:type="dxa" w:w="3230"/>
          </w:tcPr>
          <w:p>
            <w:r/>
            <w:r>
              <w:rPr>
                <w:rFonts w:ascii="Times New Roman" w:hAnsi="Times New Roman"/>
                <w:sz w:val="22"/>
              </w:rPr>
              <w:t>Tuần 2 (14–21/06)</w:t>
            </w:r>
          </w:p>
        </w:tc>
        <w:tc>
          <w:tcPr>
            <w:tcW w:type="dxa" w:w="3230"/>
          </w:tcPr>
          <w:p>
            <w:r/>
            <w:r>
              <w:rPr>
                <w:rFonts w:ascii="Times New Roman" w:hAnsi="Times New Roman"/>
                <w:sz w:val="22"/>
              </w:rPr>
              <w:t>Em rà soát chéo · NCS xác nhận letter đạo đức HNUE · thầy MĐ + thầy NMĐ duyệt v8</w:t>
            </w:r>
          </w:p>
        </w:tc>
        <w:tc>
          <w:tcPr>
            <w:tcW w:type="dxa" w:w="3230"/>
          </w:tcPr>
          <w:p>
            <w:r/>
            <w:r>
              <w:rPr>
                <w:rFonts w:ascii="Times New Roman" w:hAnsi="Times New Roman"/>
                <w:sz w:val="22"/>
              </w:rPr>
              <w:t>7 ngày</w:t>
            </w:r>
          </w:p>
        </w:tc>
      </w:tr>
      <w:tr>
        <w:tc>
          <w:tcPr>
            <w:tcW w:type="dxa" w:w="3230"/>
          </w:tcPr>
          <w:p>
            <w:r/>
            <w:r>
              <w:rPr>
                <w:rFonts w:ascii="Times New Roman" w:hAnsi="Times New Roman"/>
                <w:sz w:val="22"/>
              </w:rPr>
              <w:t>Tuần 3 (21–28/06)</w:t>
            </w:r>
          </w:p>
        </w:tc>
        <w:tc>
          <w:tcPr>
            <w:tcW w:type="dxa" w:w="3230"/>
          </w:tcPr>
          <w:p>
            <w:r/>
            <w:r>
              <w:rPr>
                <w:rFonts w:ascii="Times New Roman" w:hAnsi="Times New Roman"/>
                <w:sz w:val="22"/>
              </w:rPr>
              <w:t>Bản nháp v9 final · dịch bilingual hoàn chỉnh · chuẩn bị cover letter + figure files</w:t>
            </w:r>
          </w:p>
        </w:tc>
        <w:tc>
          <w:tcPr>
            <w:tcW w:type="dxa" w:w="3230"/>
          </w:tcPr>
          <w:p>
            <w:r/>
            <w:r>
              <w:rPr>
                <w:rFonts w:ascii="Times New Roman" w:hAnsi="Times New Roman"/>
                <w:sz w:val="22"/>
              </w:rPr>
              <w:t>7 ngày</w:t>
            </w:r>
          </w:p>
        </w:tc>
      </w:tr>
      <w:tr>
        <w:tc>
          <w:tcPr>
            <w:tcW w:type="dxa" w:w="3230"/>
          </w:tcPr>
          <w:p>
            <w:r/>
            <w:r>
              <w:rPr>
                <w:rFonts w:ascii="Times New Roman" w:hAnsi="Times New Roman"/>
                <w:sz w:val="22"/>
              </w:rPr>
              <w:t>Tuần 4 (28/06–05/07)</w:t>
            </w:r>
          </w:p>
        </w:tc>
        <w:tc>
          <w:tcPr>
            <w:tcW w:type="dxa" w:w="3230"/>
          </w:tcPr>
          <w:p>
            <w:r/>
            <w:r>
              <w:rPr>
                <w:rFonts w:ascii="Times New Roman" w:hAnsi="Times New Roman"/>
                <w:sz w:val="22"/>
              </w:rPr>
              <w:t>Nộp bản thảo lên Frontiers in Psychiatry · điền submission form · gắn ORCID NCS + thầy</w:t>
            </w:r>
          </w:p>
        </w:tc>
        <w:tc>
          <w:tcPr>
            <w:tcW w:type="dxa" w:w="3230"/>
          </w:tcPr>
          <w:p>
            <w:r/>
            <w:r>
              <w:rPr>
                <w:rFonts w:ascii="Times New Roman" w:hAnsi="Times New Roman"/>
                <w:sz w:val="22"/>
              </w:rPr>
              <w:t>1–2 ngày</w:t>
            </w:r>
          </w:p>
        </w:tc>
      </w:tr>
      <w:tr>
        <w:tc>
          <w:tcPr>
            <w:tcW w:type="dxa" w:w="3230"/>
          </w:tcPr>
          <w:p>
            <w:r/>
            <w:r>
              <w:rPr>
                <w:rFonts w:ascii="Times New Roman" w:hAnsi="Times New Roman"/>
                <w:sz w:val="22"/>
              </w:rPr>
              <w:t>Tháng 7–9</w:t>
            </w:r>
          </w:p>
        </w:tc>
        <w:tc>
          <w:tcPr>
            <w:tcW w:type="dxa" w:w="3230"/>
          </w:tcPr>
          <w:p>
            <w:r/>
            <w:r>
              <w:rPr>
                <w:rFonts w:ascii="Times New Roman" w:hAnsi="Times New Roman"/>
                <w:sz w:val="22"/>
              </w:rPr>
              <w:t>Vòng phản biện 1 (decision time dự kiến 2–3 tháng)</w:t>
            </w:r>
          </w:p>
        </w:tc>
        <w:tc>
          <w:tcPr>
            <w:tcW w:type="dxa" w:w="3230"/>
          </w:tcPr>
          <w:p>
            <w:r/>
            <w:r>
              <w:rPr>
                <w:rFonts w:ascii="Times New Roman" w:hAnsi="Times New Roman"/>
                <w:sz w:val="22"/>
              </w:rPr>
              <w:t>60–90 ngày</w:t>
            </w:r>
          </w:p>
        </w:tc>
      </w:tr>
      <w:tr>
        <w:tc>
          <w:tcPr>
            <w:tcW w:type="dxa" w:w="3230"/>
          </w:tcPr>
          <w:p>
            <w:r/>
            <w:r>
              <w:rPr>
                <w:rFonts w:ascii="Times New Roman" w:hAnsi="Times New Roman"/>
                <w:sz w:val="22"/>
              </w:rPr>
              <w:t>Tháng 10</w:t>
            </w:r>
          </w:p>
        </w:tc>
        <w:tc>
          <w:tcPr>
            <w:tcW w:type="dxa" w:w="3230"/>
          </w:tcPr>
          <w:p>
            <w:r/>
            <w:r>
              <w:rPr>
                <w:rFonts w:ascii="Times New Roman" w:hAnsi="Times New Roman"/>
                <w:sz w:val="22"/>
              </w:rPr>
              <w:t>Revision nếu có · resubmission</w:t>
            </w:r>
          </w:p>
        </w:tc>
        <w:tc>
          <w:tcPr>
            <w:tcW w:type="dxa" w:w="3230"/>
          </w:tcPr>
          <w:p>
            <w:r/>
            <w:r>
              <w:rPr>
                <w:rFonts w:ascii="Times New Roman" w:hAnsi="Times New Roman"/>
                <w:sz w:val="22"/>
              </w:rPr>
              <w:t>15–30 ngày</w:t>
            </w:r>
          </w:p>
        </w:tc>
      </w:tr>
      <w:tr>
        <w:tc>
          <w:tcPr>
            <w:tcW w:type="dxa" w:w="3230"/>
          </w:tcPr>
          <w:p>
            <w:r/>
            <w:r>
              <w:rPr>
                <w:rFonts w:ascii="Times New Roman" w:hAnsi="Times New Roman"/>
                <w:sz w:val="22"/>
              </w:rPr>
              <w:t>Tháng 11–12</w:t>
            </w:r>
          </w:p>
        </w:tc>
        <w:tc>
          <w:tcPr>
            <w:tcW w:type="dxa" w:w="3230"/>
          </w:tcPr>
          <w:p>
            <w:r/>
            <w:r>
              <w:rPr>
                <w:rFonts w:ascii="Times New Roman" w:hAnsi="Times New Roman"/>
                <w:sz w:val="22"/>
              </w:rPr>
              <w:t>Quyết định cuối · publication online</w:t>
            </w:r>
          </w:p>
        </w:tc>
        <w:tc>
          <w:tcPr>
            <w:tcW w:type="dxa" w:w="3230"/>
          </w:tcPr>
          <w:p>
            <w:r/>
            <w:r>
              <w:rPr>
                <w:rFonts w:ascii="Times New Roman" w:hAnsi="Times New Roman"/>
                <w:sz w:val="22"/>
              </w:rPr>
              <w:t>30 ngày</w:t>
            </w:r>
          </w:p>
        </w:tc>
      </w:tr>
    </w:tbl>
    <w:p>
      <w:pPr>
        <w:spacing w:line="360" w:lineRule="auto" w:after="120"/>
        <w:ind w:firstLine="567"/>
        <w:jc w:val="both"/>
      </w:pPr>
      <w:r>
        <w:rPr>
          <w:rFonts w:ascii="Times New Roman" w:hAnsi="Times New Roman"/>
          <w:b w:val="0"/>
          <w:i w:val="0"/>
          <w:sz w:val="24"/>
        </w:rPr>
        <w:t>Tổng thời gian từ nộp tới publication dự kiến 5–7 tháng, sớm hơn đáng kể so với phương án Q1 BMC Psychiatry trước đó (8–12 tháng). Đáp ứng yêu cầu tiến độ bảo vệ luận án mà thầy MĐ đã nêu trong tin nhắn 07/06/2026.</w:t>
      </w:r>
    </w:p>
    <w:p>
      <w:pPr>
        <w:spacing w:before="240" w:after="120"/>
      </w:pPr>
      <w:r>
        <w:rPr>
          <w:rFonts w:ascii="Times New Roman" w:hAnsi="Times New Roman"/>
          <w:b/>
          <w:sz w:val="24"/>
        </w:rPr>
        <w:t>5.1. Chi tiết milestone từng tuần</w:t>
      </w:r>
    </w:p>
    <w:p>
      <w:pPr>
        <w:spacing w:line="360" w:lineRule="auto" w:after="120"/>
        <w:ind w:firstLine="567"/>
        <w:jc w:val="both"/>
      </w:pPr>
      <w:r>
        <w:rPr>
          <w:rFonts w:ascii="Times New Roman" w:hAnsi="Times New Roman"/>
          <w:b w:val="0"/>
          <w:i w:val="0"/>
          <w:sz w:val="24"/>
        </w:rPr>
        <w:t>Em xin trình bày chi tiết milestone bốn tuần đầu (chuẩn bị bản thảo + nộp bài) cùng hai giai đoạn sau (review + revision):</w:t>
      </w:r>
    </w:p>
    <w:p>
      <w:pPr>
        <w:spacing w:line="360" w:lineRule="auto" w:after="60"/>
        <w:ind w:left="425"/>
      </w:pPr>
      <w:r>
        <w:rPr>
          <w:rFonts w:ascii="Times New Roman" w:hAnsi="Times New Roman"/>
          <w:sz w:val="24"/>
        </w:rPr>
        <w:t>▸ Tuần 1 (07–14/06): NCS xác nhận letter đạo đức HNUE + IRB number. Thầy MĐ + thầy NMĐ review Q2 v1 (bản nháp v8 SEM-only) trong 5 ngày. Em xử lý feedback, đánh dấu Q1-6 GIẢI QUYẾT trong tài liệu 4VanDe v3.</w:t>
      </w:r>
    </w:p>
    <w:p>
      <w:pPr>
        <w:spacing w:line="360" w:lineRule="auto" w:after="60"/>
        <w:ind w:left="425"/>
      </w:pPr>
      <w:r>
        <w:rPr>
          <w:rFonts w:ascii="Times New Roman" w:hAnsi="Times New Roman"/>
          <w:sz w:val="24"/>
        </w:rPr>
        <w:t>▸ Tuần 2 (14–21/06): Format bản thảo theo Frontiers in Psychiatry guidelines [4] — A4, double-blind, TNR 12pt, tối đa 12.000 từ (theo Frontiers guideline đã verify); giữ vừa phải hình/bảng và references theo scope bài. Chuẩn bị Supplementary Material (Mplus output, syntax SEM). Em rà soát chéo bilingual cuối.</w:t>
      </w:r>
    </w:p>
    <w:p>
      <w:pPr>
        <w:spacing w:line="360" w:lineRule="auto" w:after="60"/>
        <w:ind w:left="425"/>
      </w:pPr>
      <w:r>
        <w:rPr>
          <w:rFonts w:ascii="Times New Roman" w:hAnsi="Times New Roman"/>
          <w:sz w:val="24"/>
        </w:rPr>
        <w:t>▸ Tuần 3 (21–28/06): Soạn cover letter (1 trang) theo template Frontiers, nhấn cohort Việt Nam và mô hình risk-protective bậc cao. Soạn danh sách 3–5 suggested reviewers từ các tác giả đã verify trong kho 02_Papers-goc/ (ví dụ Xu 2021 mẫu Trung Quốc, Saikia 2023 mẫu Ấn Độ, Anderson 2025 review adolescent anxiety) kèm email + lý do. Hoàn tất ORCID nhóm tác giả.</w:t>
      </w:r>
    </w:p>
    <w:p>
      <w:pPr>
        <w:spacing w:line="360" w:lineRule="auto" w:after="60"/>
        <w:ind w:left="425"/>
      </w:pPr>
      <w:r>
        <w:rPr>
          <w:rFonts w:ascii="Times New Roman" w:hAnsi="Times New Roman"/>
          <w:sz w:val="24"/>
        </w:rPr>
        <w:t>▸ Tuần 4 (28/06–05/07): Submit qua Frontiers Online Submission. Điền submission form (cover letter, abstract, keywords, COI, funding, data availability, ethics + IRB). Upload main manuscript + supplementary + figure files (EPS hoặc PDF 300dpi).</w:t>
      </w:r>
    </w:p>
    <w:p>
      <w:pPr>
        <w:spacing w:line="360" w:lineRule="auto" w:after="60"/>
        <w:ind w:left="425"/>
      </w:pPr>
      <w:r>
        <w:rPr>
          <w:rFonts w:ascii="Times New Roman" w:hAnsi="Times New Roman"/>
          <w:sz w:val="24"/>
        </w:rPr>
        <w:t>▸ Tháng 3–4 sau submit (08–09/2026): Nhận review vòng 1 (60–90 ngày). Ba khả năng: (a) minor revision — hiếm; (b) major revision — phổ biến, response letter trong 30 ngày; (c) desk reject — kích hoạt fallback mục 6.</w:t>
      </w:r>
    </w:p>
    <w:p>
      <w:pPr>
        <w:spacing w:line="360" w:lineRule="auto" w:after="60"/>
        <w:ind w:left="425"/>
      </w:pPr>
      <w:r>
        <w:rPr>
          <w:rFonts w:ascii="Times New Roman" w:hAnsi="Times New Roman"/>
          <w:sz w:val="24"/>
        </w:rPr>
        <w:t>▸ Tháng 5–6 sau submit (10–11/2026): Revision + resubmission. Vòng 2 nhanh hơn (30–45 ngày). Nếu accepted: proof reading 48 giờ + thanh toán APC. Publication online dự kiến 11–12/2026.</w:t>
      </w:r>
    </w:p>
    <w:p>
      <w:pPr>
        <w:spacing w:before="240" w:after="120"/>
      </w:pPr>
      <w:r>
        <w:rPr>
          <w:rFonts w:ascii="Times New Roman" w:hAnsi="Times New Roman"/>
          <w:b/>
          <w:sz w:val="28"/>
        </w:rPr>
        <w:t>6. KHUYẾN NGHỊ CUỐI</w:t>
      </w:r>
    </w:p>
    <w:p>
      <w:pPr>
        <w:spacing w:line="360" w:lineRule="auto" w:after="120"/>
        <w:ind w:firstLine="567"/>
        <w:jc w:val="both"/>
      </w:pPr>
      <w:r>
        <w:rPr>
          <w:rFonts w:ascii="Times New Roman" w:hAnsi="Times New Roman"/>
          <w:b w:val="0"/>
          <w:i w:val="0"/>
          <w:sz w:val="24"/>
        </w:rPr>
        <w:t>Trên cơ sở so sánh ba tạp chí Q2 theo sáu tiêu chí, em khuyến nghị:</w:t>
      </w:r>
    </w:p>
    <w:p>
      <w:pPr>
        <w:spacing w:line="360" w:lineRule="auto" w:after="60"/>
        <w:ind w:left="425"/>
      </w:pPr>
      <w:r>
        <w:rPr>
          <w:rFonts w:ascii="Times New Roman" w:hAnsi="Times New Roman"/>
          <w:sz w:val="24"/>
        </w:rPr>
        <w:t>▸ Target chính: Frontiers in Psychiatry, Section Adolescent and Young Adult Psychiatry. Lý do: phù hợp nhất về scope (psychiatry + adolescent), decision time nhanh (2–3 tháng), OA bắt buộc giúp tăng visibility, đã có nhiều bài cohort châu Á tương đồng.</w:t>
      </w:r>
    </w:p>
    <w:p>
      <w:pPr>
        <w:spacing w:line="360" w:lineRule="auto" w:after="60"/>
        <w:ind w:left="425"/>
      </w:pPr>
      <w:r>
        <w:rPr>
          <w:rFonts w:ascii="Times New Roman" w:hAnsi="Times New Roman"/>
          <w:sz w:val="24"/>
        </w:rPr>
        <w:t>▸ Backup 1: BMC Public Health — chuyển sang nếu Frontiers từ chối ở vòng đầu. IF cao nhất, đã có truyền thống đăng cohort Việt Nam.</w:t>
      </w:r>
    </w:p>
    <w:p>
      <w:pPr>
        <w:spacing w:line="360" w:lineRule="auto" w:after="60"/>
        <w:ind w:left="425"/>
      </w:pPr>
      <w:r>
        <w:rPr>
          <w:rFonts w:ascii="Times New Roman" w:hAnsi="Times New Roman"/>
          <w:sz w:val="24"/>
        </w:rPr>
        <w:t>▸ Backup 2: Frontiers in Public Health — phương án cuối cùng. IF thấp nhất trong ba ứng viên nhưng vẫn nằm trong Q2.</w:t>
      </w:r>
    </w:p>
    <w:p>
      <w:pPr>
        <w:spacing w:line="360" w:lineRule="auto" w:after="120"/>
        <w:ind w:firstLine="567"/>
        <w:jc w:val="both"/>
      </w:pPr>
      <w:r>
        <w:rPr>
          <w:rFonts w:ascii="Times New Roman" w:hAnsi="Times New Roman"/>
          <w:b w:val="0"/>
          <w:i w:val="0"/>
          <w:sz w:val="24"/>
        </w:rPr>
        <w:t>Em nhấn lại Q3-6 (letter đạo đức HNUE) vẫn là chặn bắt buộc — cả ba tạp chí Q2 đều yêu cầu IRB number cụ thể. NCS cần hoàn tất trong tuần đầu 6/2026.</w:t>
      </w:r>
    </w:p>
    <w:p>
      <w:pPr>
        <w:spacing w:before="240" w:after="120"/>
      </w:pPr>
      <w:r>
        <w:rPr>
          <w:rFonts w:ascii="Times New Roman" w:hAnsi="Times New Roman"/>
          <w:b/>
          <w:sz w:val="24"/>
        </w:rPr>
        <w:t>6.1. Kế hoạch dự phòng (fallback) nếu Frontiers desk-reject</w:t>
      </w:r>
    </w:p>
    <w:p>
      <w:pPr>
        <w:spacing w:line="360" w:lineRule="auto" w:after="120"/>
        <w:ind w:firstLine="567"/>
        <w:jc w:val="both"/>
      </w:pPr>
      <w:r>
        <w:rPr>
          <w:rFonts w:ascii="Times New Roman" w:hAnsi="Times New Roman"/>
          <w:b w:val="0"/>
          <w:i w:val="0"/>
          <w:sz w:val="24"/>
        </w:rPr>
        <w:t>Nếu Frontiers in Psychiatry desk-reject (từ chối ở vòng editor, không gửi review), em đã chuẩn bị fallback bốn cấp xếp theo IF giảm dần và khả năng accept tăng dần:</w:t>
      </w:r>
    </w:p>
    <w:p>
      <w:pPr>
        <w:spacing w:line="360" w:lineRule="auto" w:after="60"/>
        <w:ind w:left="425"/>
      </w:pPr>
      <w:r>
        <w:rPr>
          <w:rFonts w:ascii="Times New Roman" w:hAnsi="Times New Roman"/>
          <w:sz w:val="24"/>
        </w:rPr>
        <w:t>▸ Cấp 1 — BMC Public Health (IF ≈ 4,5, Q2 Public Health) [5]: Chuyển trong 7 ngày sau desk-reject. Viết lại Title + Abstract nhấn y tế công cộng và chính sách trường học. Decision time 3–4 tháng. Đã đăng cohort thanh thiếu niên Việt Nam. APC ~2500 GBP.</w:t>
      </w:r>
    </w:p>
    <w:p>
      <w:pPr>
        <w:spacing w:line="360" w:lineRule="auto" w:after="60"/>
        <w:ind w:left="425"/>
      </w:pPr>
      <w:r>
        <w:rPr>
          <w:rFonts w:ascii="Times New Roman" w:hAnsi="Times New Roman"/>
          <w:sz w:val="24"/>
        </w:rPr>
        <w:t>▸ Cấp 2 — Frontiers in Public Health (IF ≈ 3,0, Q2 Public Health) [6]: Section Public Mental Health chấp nhận SEM cross-sectional. Decision time ≈ 3 tháng. Cùng Frontiers family nên có thể dùng Tier Transfer (không cần resubmit từ đầu). APC ~2950 USD.</w:t>
      </w:r>
    </w:p>
    <w:p>
      <w:pPr>
        <w:spacing w:line="360" w:lineRule="auto" w:after="60"/>
        <w:ind w:left="425"/>
      </w:pPr>
      <w:r>
        <w:rPr>
          <w:rFonts w:ascii="Times New Roman" w:hAnsi="Times New Roman"/>
          <w:sz w:val="24"/>
        </w:rPr>
        <w:t>▸ Cấp 3 — PLOS Mental Health (mới 2024, IF dự kiến ≈ 2,5–3,0) [12]: Scope rộng chấp nhận SEM cross-sectional. Acceptance rate ≈ 45%, decision time ≈ 2 tháng, APC ~1800 USD. Nhược: chưa có IF chính thức, cần đối chiếu yêu cầu HNUE về công bố Q2.</w:t>
      </w:r>
    </w:p>
    <w:p>
      <w:pPr>
        <w:spacing w:line="360" w:lineRule="auto" w:after="60"/>
        <w:ind w:left="425"/>
      </w:pPr>
      <w:r>
        <w:rPr>
          <w:rFonts w:ascii="Times New Roman" w:hAnsi="Times New Roman"/>
          <w:sz w:val="24"/>
        </w:rPr>
        <w:t>▸ Cấp 4 — PLOS ONE (IF ≈ 3,7, broader scope) [13]: Phương án cuối. Chấp nhận mọi thiết kế đúng phương pháp. Decision time 4–6 tháng. APC ~1800 USD. Nếu chuyển Q2 sang đây thì đổi Q3 companion sang BMC Research Notes hoặc Heliyon.</w:t>
      </w:r>
    </w:p>
    <w:p>
      <w:pPr>
        <w:spacing w:line="360" w:lineRule="auto" w:after="120"/>
        <w:ind w:firstLine="567"/>
        <w:jc w:val="both"/>
      </w:pPr>
      <w:r>
        <w:rPr>
          <w:rFonts w:ascii="Times New Roman" w:hAnsi="Times New Roman"/>
          <w:b w:val="0"/>
          <w:i w:val="0"/>
          <w:sz w:val="24"/>
        </w:rPr>
        <w:t>Fallback chỉ kích hoạt khi Frontiers desk-reject. Nếu Frontiers gửi review và yêu cầu major revision, tập trung response letter thay vì chuyển tạp chí — acceptance rate cuối của major revision ≈ 60–70%.</w:t>
      </w:r>
    </w:p>
    <w:p>
      <w:pPr>
        <w:spacing w:line="360" w:lineRule="auto" w:after="120"/>
        <w:ind w:firstLine="567"/>
        <w:jc w:val="both"/>
      </w:pPr>
      <w:r>
        <w:rPr>
          <w:rFonts w:ascii="Times New Roman" w:hAnsi="Times New Roman"/>
          <w:b w:val="0"/>
          <w:i w:val="0"/>
          <w:sz w:val="24"/>
        </w:rPr>
        <w:t>Em chờ thầy MĐ + thầy NMĐ phê duyệt; sau khi nhận phản hồi, em triển khai bản nháp v8 SEM-only theo lịch trong mục 5.</w:t>
      </w:r>
    </w:p>
    <w:p>
      <w:pPr>
        <w:spacing w:before="240" w:after="120"/>
      </w:pPr>
      <w:r>
        <w:rPr>
          <w:rFonts w:ascii="Times New Roman" w:hAnsi="Times New Roman"/>
          <w:b/>
          <w:sz w:val="28"/>
        </w:rPr>
        <w:t>7. THAM KHẢO</w:t>
      </w:r>
    </w:p>
    <w:p>
      <w:pPr>
        <w:spacing w:line="360" w:lineRule="auto" w:after="80"/>
        <w:ind w:left="283" w:hanging="283"/>
      </w:pPr>
      <w:r>
        <w:rPr>
          <w:rFonts w:ascii="Times New Roman" w:hAnsi="Times New Roman"/>
          <w:sz w:val="22"/>
        </w:rPr>
        <w:t>[1] Draft_Q1_SongNgu_v7_01062026.docx — Bản nháp song ngữ Anh–Việt phiên bản 7 của bài Q1 (mixed-methods, BMC Psychiatry). Lưu trữ nội bộ tại bai-bao-Q1/Draft_Q1_SongNgu_v7_01062026.docx. Tham chiếu nội bộ.</w:t>
      </w:r>
    </w:p>
    <w:p>
      <w:pPr>
        <w:spacing w:line="360" w:lineRule="auto" w:after="80"/>
        <w:ind w:left="283" w:hanging="283"/>
      </w:pPr>
      <w:r>
        <w:rPr>
          <w:rFonts w:ascii="Times New Roman" w:hAnsi="Times New Roman"/>
          <w:sz w:val="22"/>
        </w:rPr>
        <w:t>[2] 4VanDe_BLOCKING_Q1Q3_v2_01062026.docx — Tài liệu Bốn vấn đề chặn phiên bản 2 (ngày 01/06/2026). Lưu trữ nội bộ tại bai-bao-Q1/4VanDe_BLOCKING_Q1Q3_v2_01062026.docx. Tham chiếu nội bộ.</w:t>
      </w:r>
    </w:p>
    <w:p>
      <w:pPr>
        <w:spacing w:line="360" w:lineRule="auto" w:after="80"/>
        <w:ind w:left="283" w:hanging="283"/>
      </w:pPr>
      <w:r>
        <w:rPr>
          <w:rFonts w:ascii="Times New Roman" w:hAnsi="Times New Roman"/>
          <w:sz w:val="22"/>
        </w:rPr>
        <w:t>[3] Braun, V., &amp; Clarke, V. (2006). Using thematic analysis in psychology. Qualitative Research in Psychology, 3(2), 77–101. DOI: 10.1191/1478088706qp063oa.</w:t>
      </w:r>
    </w:p>
    <w:p>
      <w:pPr>
        <w:spacing w:line="360" w:lineRule="auto" w:after="80"/>
        <w:ind w:left="283" w:hanging="283"/>
      </w:pPr>
      <w:r>
        <w:rPr>
          <w:rFonts w:ascii="Times New Roman" w:hAnsi="Times New Roman"/>
          <w:sz w:val="22"/>
        </w:rPr>
        <w:t>[4] Frontiers in Psychiatry. Author Guidelines &amp; Article Types — Adolescent and Young Adult Psychiatry Section. Frontiers Media SA. Truy cập: https://www.frontiersin.org/journals/psychiatry/sections/adolescent-and-young-adult-psychiatry. Tra cứu JCR 2024 cho IF.</w:t>
      </w:r>
    </w:p>
    <w:p>
      <w:pPr>
        <w:spacing w:line="360" w:lineRule="auto" w:after="80"/>
        <w:ind w:left="283" w:hanging="283"/>
      </w:pPr>
      <w:r>
        <w:rPr>
          <w:rFonts w:ascii="Times New Roman" w:hAnsi="Times New Roman"/>
          <w:sz w:val="22"/>
        </w:rPr>
        <w:t>[5] BMC Public Health. Submission Guidelines · About the Journal. Springer Nature. Truy cập: https://bmcpublichealth.biomedcentral.com/submission-guidelines. Tra cứu JCR 2024 cho IF.</w:t>
      </w:r>
    </w:p>
    <w:p>
      <w:pPr>
        <w:spacing w:line="360" w:lineRule="auto" w:after="80"/>
        <w:ind w:left="283" w:hanging="283"/>
      </w:pPr>
      <w:r>
        <w:rPr>
          <w:rFonts w:ascii="Times New Roman" w:hAnsi="Times New Roman"/>
          <w:sz w:val="22"/>
        </w:rPr>
        <w:t>[6] Frontiers in Public Health. Author Guidelines — Public Mental Health Section. Frontiers Media SA. Truy cập: https://www.frontiersin.org/journals/public-health/sections/public-mental-health. Tra cứu JCR 2024 cho IF.</w:t>
      </w:r>
    </w:p>
    <w:p>
      <w:pPr>
        <w:spacing w:line="360" w:lineRule="auto" w:after="80"/>
        <w:ind w:left="283" w:hanging="283"/>
      </w:pPr>
      <w:r>
        <w:rPr>
          <w:rFonts w:ascii="Times New Roman" w:hAnsi="Times New Roman"/>
          <w:sz w:val="22"/>
        </w:rPr>
        <w:t>[7] Luận án TS NCS Công Thị Hằng, phiên bản 01_LuanAn_v3_1_FixCoping_28052026.docx. Các bảng đã đối chiếu: Bảng 27, 30, 33 (yếu tố nguy cơ → phân loại lo âu); Bảng 36, 39, 42, 45 (yếu tố bảo vệ → phân loại lo âu); Bảng 47 (mô hình bậc cao YTNC + YTBV → tổng RLLA, R² = 0,598). Tham chiếu nội bộ.</w:t>
      </w:r>
    </w:p>
    <w:p>
      <w:pPr>
        <w:spacing w:line="360" w:lineRule="auto" w:after="80"/>
        <w:ind w:left="283" w:hanging="283"/>
      </w:pPr>
      <w:r>
        <w:rPr>
          <w:rFonts w:ascii="Times New Roman" w:hAnsi="Times New Roman"/>
          <w:sz w:val="22"/>
        </w:rPr>
        <w:t>[8] First, M. B., Yousif, L. H., Clarke, D. E., Wang, P. S., Gogtay, N., &amp; Appelbaum, P. S. (2022). DSM-5-TR: overview of what's new and what's changed. World Psychiatry, 21(2), 218–219. DOI: 10.1002/wps.20989. PMID: 35524596. Tham chiếu khung chẩn đoán hiện hành.</w:t>
      </w:r>
    </w:p>
    <w:p>
      <w:pPr>
        <w:spacing w:line="360" w:lineRule="auto" w:after="80"/>
        <w:ind w:left="283" w:hanging="283"/>
      </w:pPr>
      <w:r>
        <w:rPr>
          <w:rFonts w:ascii="Times New Roman" w:hAnsi="Times New Roman"/>
          <w:sz w:val="22"/>
        </w:rPr>
        <w:t>[9] Pezzella, P. (2022). ICD-11 is now officially in effect worldwide. World Psychiatry, 21(2), 331–332. DOI: 10.1002/wps.20982. PMID: 35524598. Tham chiếu hệ phân loại ICD-11 hiệu lực toàn cầu 01/01/2022.</w:t>
      </w:r>
    </w:p>
    <w:p>
      <w:pPr>
        <w:spacing w:line="360" w:lineRule="auto" w:after="80"/>
        <w:ind w:left="283" w:hanging="283"/>
      </w:pPr>
      <w:r>
        <w:rPr>
          <w:rFonts w:ascii="Times New Roman" w:hAnsi="Times New Roman"/>
          <w:sz w:val="22"/>
        </w:rPr>
        <w:t>[10] Web of Science. Journal Citation Reports (JCR) 2024 edition · Clarivate Analytics. Truy cập nội bộ qua thư viện HNUE / VNU. Tra cứu IF và phân hạng Q1/Q2/Q3/Q4 cho ba tạp chí ứng viên.</w:t>
      </w:r>
    </w:p>
    <w:p>
      <w:pPr>
        <w:spacing w:line="360" w:lineRule="auto" w:after="80"/>
        <w:ind w:left="283" w:hanging="283"/>
      </w:pPr>
      <w:r>
        <w:rPr>
          <w:rFonts w:ascii="Times New Roman" w:hAnsi="Times New Roman"/>
          <w:sz w:val="22"/>
        </w:rPr>
        <w:t>[11] Tin nhắn chỉ đạo của thầy MĐ ngày 07/06/2026 — ba điểm chốt: bỏ phần định tính, chuyển sang thuần định lượng SEM tích hợp, chuyển Q1 → Q2. Lưu trong nhật ký trao đổi nội bộ với nhóm tác giả. Tham chiếu nội bộ.</w:t>
      </w:r>
    </w:p>
    <w:p>
      <w:pPr>
        <w:spacing w:line="360" w:lineRule="auto" w:after="80"/>
        <w:ind w:left="283" w:hanging="283"/>
      </w:pPr>
      <w:r>
        <w:rPr>
          <w:rFonts w:ascii="Times New Roman" w:hAnsi="Times New Roman"/>
          <w:sz w:val="22"/>
        </w:rPr>
        <w:t>[12] PLOS Mental Health. Submission Guidelines and Author Information. Public Library of Science. Truy cập: https://journals.plos.org/mentalhealth/s/submission-guidelines. Tạp chí mới ra mắt 2024, chưa có IF chính thức trong JCR 2024 nhưng dự kiến phân hạng Q2 theo Scopus CiteScore Tracker. Dùng cho fallback Cấp 3.</w:t>
      </w:r>
    </w:p>
    <w:p>
      <w:pPr>
        <w:spacing w:line="360" w:lineRule="auto" w:after="80"/>
        <w:ind w:left="283" w:hanging="283"/>
      </w:pPr>
      <w:r>
        <w:rPr>
          <w:rFonts w:ascii="Times New Roman" w:hAnsi="Times New Roman"/>
          <w:sz w:val="22"/>
        </w:rPr>
        <w:t>[13] PLOS ONE. Submission Guidelines and Author Information. Public Library of Science. Truy cập: https://journals.plos.org/plosone/s/submission-guidelines. IF JCR 2024 ≈ 3,7, Q1 Multidisciplinary Sciences nhưng Q2 trong nhiều chuyên ngành phụ. Dùng cho fallback Cấp 4.</w:t>
      </w:r>
    </w:p>
    <w:p>
      <w:pPr>
        <w:spacing w:line="360" w:lineRule="auto" w:after="80"/>
        <w:ind w:left="283" w:hanging="283"/>
      </w:pPr>
      <w:r>
        <w:rPr>
          <w:rFonts w:ascii="Times New Roman" w:hAnsi="Times New Roman"/>
          <w:sz w:val="22"/>
        </w:rPr>
        <w:t>[14] Web of Science. Journal Citation Reports 2024 edition — Methodology and Indicator Definitions. Clarivate Analytics, 06/2024. Truy cập nội bộ qua thư viện HNUE / VNU. Tham chiếu nguồn cho mọi giá trị IF nêu trong tài liệu này; mọi IF được trích là số gần đúng từ JCR 2024.</w:t>
      </w:r>
    </w:p>
    <w:p>
      <w:pPr>
        <w:spacing w:line="360" w:lineRule="auto" w:after="80"/>
        <w:ind w:left="283" w:hanging="283"/>
      </w:pPr>
      <w:r>
        <w:rPr>
          <w:rFonts w:ascii="Times New Roman" w:hAnsi="Times New Roman"/>
          <w:sz w:val="22"/>
        </w:rPr>
        <w:t>[15] Frontiers Media SA. Article Types — Original Research, Brief Research Report, Review. Frontiers Author Hub. Truy cập: https://www.frontiersin.org/guidelines/author-guidelines. Tham chiếu format compliance (giới hạn 12.000 từ đã verify từ Frontiers Author Hub) và Brief Research Report (3.000 từ) cho phương án định tính follow-up.</w:t>
      </w:r>
    </w:p>
    <w:sectPr>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20"/>
      </w:rPr>
      <w:t>Soạn 07/06/2026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