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6"/>
        </w:rPr>
        <w:t>NHẬP MÔN TÂM LÝ HỌC CHO ĐỀ TÀI</w:t>
      </w:r>
    </w:p>
    <w:p>
      <w:pPr>
        <w:spacing w:before="400" w:after="240"/>
        <w:jc w:val="center"/>
      </w:pPr>
      <w:r>
        <w:rPr>
          <w:rFonts w:ascii="Times New Roman" w:hAnsi="Times New Roman"/>
          <w:b/>
          <w:color w:val="1F4E79"/>
          <w:sz w:val="36"/>
        </w:rPr>
        <w:t>"Lo âu Vị thành niên Việt Nam"</w:t>
      </w:r>
    </w:p>
    <w:p>
      <w:pPr>
        <w:jc w:val="center"/>
      </w:pPr>
      <w:r>
        <w:rPr>
          <w:rFonts w:ascii="Times New Roman" w:hAnsi="Times New Roman"/>
          <w:i/>
          <w:color w:val="505050"/>
          <w:sz w:val="26"/>
        </w:rPr>
        <w:t>Introduction to Psychology for the Adolescent Anxiety Project</w:t>
      </w:r>
    </w:p>
    <w:p>
      <w:pPr>
        <w:jc w:val="center"/>
      </w:pPr>
      <w:r>
        <w:rPr>
          <w:rFonts w:ascii="Times New Roman" w:hAnsi="Times New Roman"/>
          <w:i/>
          <w:color w:val="808080"/>
          <w:sz w:val="22"/>
        </w:rPr>
        <w:t>Bilingual primer for non-specialist readers — 10 pages</w:t>
      </w:r>
    </w:p>
    <w:p>
      <w:pPr>
        <w:jc w:val="center"/>
      </w:pPr>
      <w:r>
        <w:rPr>
          <w:rFonts w:ascii="Times New Roman" w:hAnsi="Times New Roman"/>
          <w:i/>
          <w:color w:val="808080"/>
          <w:sz w:val="22"/>
        </w:rPr>
        <w:t>Tài liệu nhập môn song ngữ Anh-Việt dành cho người ngoại đạo — 10 trang</w:t>
      </w:r>
    </w:p>
    <w:p>
      <w:r>
        <w:br w:type="page"/>
      </w:r>
    </w:p>
    <w:p>
      <w:pPr>
        <w:jc w:val="center"/>
      </w:pPr>
      <w:r>
        <w:rPr>
          <w:rFonts w:ascii="Times New Roman" w:hAnsi="Times New Roman"/>
          <w:b/>
          <w:color w:val="C00000"/>
          <w:sz w:val="28"/>
        </w:rPr>
        <w:t>TỪ ĐIỂN THUẬT NGỮ NHANH / QUICK GLOSSARY</w:t>
      </w:r>
    </w:p>
    <w:p>
      <w:pPr>
        <w:spacing w:after="200"/>
        <w:jc w:val="center"/>
      </w:pPr>
      <w:r>
        <w:rPr>
          <w:rFonts w:ascii="Times New Roman" w:hAnsi="Times New Roman"/>
          <w:i/>
          <w:color w:val="505050"/>
          <w:sz w:val="22"/>
        </w:rPr>
        <w:t>Cứ giở trang này khi gặp từ chưa rõ. Read this page first or whenever a term is unclear.</w:t>
      </w:r>
    </w:p>
    <w:p>
      <w:pPr>
        <w:spacing w:after="40"/>
      </w:pPr>
      <w:r>
        <w:rPr>
          <w:rFonts w:ascii="Times New Roman" w:hAnsi="Times New Roman"/>
          <w:b/>
          <w:color w:val="2E74B5"/>
          <w:sz w:val="22"/>
        </w:rPr>
        <w:t>Anxiety vs Anxiety Disorder / Lo âu vs Rối loạn lo âu</w:t>
      </w:r>
    </w:p>
    <w:p>
      <w:pPr>
        <w:spacing w:after="40"/>
        <w:ind w:left="283"/>
      </w:pPr>
      <w:r>
        <w:rPr>
          <w:rFonts w:ascii="Times New Roman" w:hAnsi="Times New Roman"/>
          <w:sz w:val="20"/>
        </w:rPr>
        <w:t>Anxiety = a normal emotion (worry before exam). Anxiety disorder = persistent worry (≥6 months), excessive, and impairing daily life.</w:t>
      </w:r>
    </w:p>
    <w:p>
      <w:pPr>
        <w:spacing w:after="120"/>
        <w:ind w:left="283"/>
      </w:pPr>
      <w:r>
        <w:rPr>
          <w:rFonts w:ascii="Times New Roman" w:hAnsi="Times New Roman"/>
          <w:i/>
          <w:color w:val="333333"/>
          <w:sz w:val="20"/>
        </w:rPr>
        <w:t>Lo âu = cảm xúc bình thường (lo trước kỳ thi). Rối loạn lo âu = lo lắng dai dẳng (≥6 tháng), quá mức, làm suy giảm sinh hoạt hàng ngày.</w:t>
      </w:r>
    </w:p>
    <w:p>
      <w:pPr>
        <w:spacing w:after="40"/>
      </w:pPr>
      <w:r>
        <w:rPr>
          <w:rFonts w:ascii="Times New Roman" w:hAnsi="Times New Roman"/>
          <w:b/>
          <w:color w:val="2E74B5"/>
          <w:sz w:val="22"/>
        </w:rPr>
        <w:t>RCADS / Thang RCADS</w:t>
      </w:r>
    </w:p>
    <w:p>
      <w:pPr>
        <w:spacing w:after="40"/>
        <w:ind w:left="283"/>
      </w:pPr>
      <w:r>
        <w:rPr>
          <w:rFonts w:ascii="Times New Roman" w:hAnsi="Times New Roman"/>
          <w:sz w:val="20"/>
        </w:rPr>
        <w:t>Revised Children's Anxiety and Depression Scale — a questionnaire designed for ages 8–18 that produces separate scores for GAD, SAD, SocAD and other subtypes.</w:t>
      </w:r>
    </w:p>
    <w:p>
      <w:pPr>
        <w:spacing w:after="120"/>
        <w:ind w:left="283"/>
      </w:pPr>
      <w:r>
        <w:rPr>
          <w:rFonts w:ascii="Times New Roman" w:hAnsi="Times New Roman"/>
          <w:i/>
          <w:color w:val="333333"/>
          <w:sz w:val="20"/>
        </w:rPr>
        <w:t>Thang đo lo âu và trầm cảm trẻ em phiên bản sửa đổi — bảng hỏi cho 8–18 tuổi, cho điểm riêng cho từng phân loại lo âu (GAD, SAD, SocAD và các loại khác).</w:t>
      </w:r>
    </w:p>
    <w:p>
      <w:pPr>
        <w:spacing w:after="40"/>
      </w:pPr>
      <w:r>
        <w:rPr>
          <w:rFonts w:ascii="Times New Roman" w:hAnsi="Times New Roman"/>
          <w:b/>
          <w:color w:val="2E74B5"/>
          <w:sz w:val="22"/>
        </w:rPr>
        <w:t>β (beta) / Hệ số β (beta)</w:t>
      </w:r>
    </w:p>
    <w:p>
      <w:pPr>
        <w:spacing w:after="40"/>
        <w:ind w:left="283"/>
      </w:pPr>
      <w:r>
        <w:rPr>
          <w:rFonts w:ascii="Times New Roman" w:hAnsi="Times New Roman"/>
          <w:sz w:val="20"/>
        </w:rPr>
        <w:t>A standardized pathway coefficient from −1 to +1. Near 0 = weak effect; near ±1 = strong effect. β = 0.376 means a clearly meaningful effect; β = 0.05 would be trivial.</w:t>
      </w:r>
    </w:p>
    <w:p>
      <w:pPr>
        <w:spacing w:after="120"/>
        <w:ind w:left="283"/>
      </w:pPr>
      <w:r>
        <w:rPr>
          <w:rFonts w:ascii="Times New Roman" w:hAnsi="Times New Roman"/>
          <w:i/>
          <w:color w:val="333333"/>
          <w:sz w:val="20"/>
        </w:rPr>
        <w:t>Hệ số đường dẫn đã chuẩn hóa, có giá trị từ −1 tới +1. Gần 0 = hiệu ứng yếu; gần ±1 = hiệu ứng mạnh. β = 0,376 = hiệu ứng có ý nghĩa; β = 0,05 = không đáng kể.</w:t>
      </w:r>
    </w:p>
    <w:p>
      <w:pPr>
        <w:spacing w:after="40"/>
      </w:pPr>
      <w:r>
        <w:rPr>
          <w:rFonts w:ascii="Times New Roman" w:hAnsi="Times New Roman"/>
          <w:b/>
          <w:color w:val="2E74B5"/>
          <w:sz w:val="22"/>
        </w:rPr>
        <w:t>R² (R squared) / Hệ số R² (R bình phương)</w:t>
      </w:r>
    </w:p>
    <w:p>
      <w:pPr>
        <w:spacing w:after="40"/>
        <w:ind w:left="283"/>
      </w:pPr>
      <w:r>
        <w:rPr>
          <w:rFonts w:ascii="Times New Roman" w:hAnsi="Times New Roman"/>
          <w:sz w:val="20"/>
        </w:rPr>
        <w:t>The proportion of variance explained. R² = 0.598 means the model explains 60% of why anxiety scores differ between students.</w:t>
      </w:r>
    </w:p>
    <w:p>
      <w:pPr>
        <w:spacing w:after="120"/>
        <w:ind w:left="283"/>
      </w:pPr>
      <w:r>
        <w:rPr>
          <w:rFonts w:ascii="Times New Roman" w:hAnsi="Times New Roman"/>
          <w:i/>
          <w:color w:val="333333"/>
          <w:sz w:val="20"/>
        </w:rPr>
        <w:t>Tỷ lệ phương sai được giải thích. R² = 0,598 nghĩa là mô hình giải thích 60% lý do điểm lo âu của học sinh khác nhau.</w:t>
      </w:r>
    </w:p>
    <w:p>
      <w:pPr>
        <w:spacing w:after="40"/>
      </w:pPr>
      <w:r>
        <w:rPr>
          <w:rFonts w:ascii="Times New Roman" w:hAnsi="Times New Roman"/>
          <w:b/>
          <w:color w:val="2E74B5"/>
          <w:sz w:val="22"/>
        </w:rPr>
        <w:t>SEM / SEM (mô hình phương trình cấu trúc)</w:t>
      </w:r>
    </w:p>
    <w:p>
      <w:pPr>
        <w:spacing w:after="40"/>
        <w:ind w:left="283"/>
      </w:pPr>
      <w:r>
        <w:rPr>
          <w:rFonts w:ascii="Times New Roman" w:hAnsi="Times New Roman"/>
          <w:sz w:val="20"/>
        </w:rPr>
        <w:t>Structural Equation Modeling — a statistical method that tests many cause-effect pathways at once in a single model.</w:t>
      </w:r>
    </w:p>
    <w:p>
      <w:pPr>
        <w:spacing w:after="120"/>
        <w:ind w:left="283"/>
      </w:pPr>
      <w:r>
        <w:rPr>
          <w:rFonts w:ascii="Times New Roman" w:hAnsi="Times New Roman"/>
          <w:i/>
          <w:color w:val="333333"/>
          <w:sz w:val="20"/>
        </w:rPr>
        <w:t>Phương pháp thống kê kiểm tra đồng thời nhiều đường dẫn nguyên nhân-hậu quả trong một mô hình duy nhất.</w:t>
      </w:r>
    </w:p>
    <w:p>
      <w:pPr>
        <w:spacing w:after="40"/>
      </w:pPr>
      <w:r>
        <w:rPr>
          <w:rFonts w:ascii="Times New Roman" w:hAnsi="Times New Roman"/>
          <w:b/>
          <w:color w:val="2E74B5"/>
          <w:sz w:val="22"/>
        </w:rPr>
        <w:t>LPA / LPA (phân tích hồ sơ tiềm ẩn)</w:t>
      </w:r>
    </w:p>
    <w:p>
      <w:pPr>
        <w:spacing w:after="40"/>
        <w:ind w:left="283"/>
      </w:pPr>
      <w:r>
        <w:rPr>
          <w:rFonts w:ascii="Times New Roman" w:hAnsi="Times New Roman"/>
          <w:sz w:val="20"/>
        </w:rPr>
        <w:t>Latent Profile Analysis — a method that groups individuals into "types" (e.g., high-stress vs low-stress students) based on patterns of measured variables.</w:t>
      </w:r>
    </w:p>
    <w:p>
      <w:pPr>
        <w:spacing w:after="120"/>
        <w:ind w:left="283"/>
      </w:pPr>
      <w:r>
        <w:rPr>
          <w:rFonts w:ascii="Times New Roman" w:hAnsi="Times New Roman"/>
          <w:i/>
          <w:color w:val="333333"/>
          <w:sz w:val="20"/>
        </w:rPr>
        <w:t>Phương pháp gộp các cá nhân thành các "loại" (ví dụ học sinh cao áp lực vs thấp áp lực) dựa trên mẫu hình các biến đã đo.</w:t>
      </w:r>
    </w:p>
    <w:p>
      <w:pPr>
        <w:spacing w:after="40"/>
      </w:pPr>
      <w:r>
        <w:rPr>
          <w:rFonts w:ascii="Times New Roman" w:hAnsi="Times New Roman"/>
          <w:b/>
          <w:color w:val="2E74B5"/>
          <w:sz w:val="22"/>
        </w:rPr>
        <w:t>DSM-5 / ICD-11 / DSM-5 / ICD-11</w:t>
      </w:r>
    </w:p>
    <w:p>
      <w:pPr>
        <w:spacing w:after="40"/>
        <w:ind w:left="283"/>
      </w:pPr>
      <w:r>
        <w:rPr>
          <w:rFonts w:ascii="Times New Roman" w:hAnsi="Times New Roman"/>
          <w:sz w:val="20"/>
        </w:rPr>
        <w:t>Two international classification systems for mental disorders. DSM-5 (2013, American Psychiatric Association) and ICD-11 (2022, World Health Organization).</w:t>
      </w:r>
    </w:p>
    <w:p>
      <w:pPr>
        <w:spacing w:after="120"/>
        <w:ind w:left="283"/>
      </w:pPr>
      <w:r>
        <w:rPr>
          <w:rFonts w:ascii="Times New Roman" w:hAnsi="Times New Roman"/>
          <w:i/>
          <w:color w:val="333333"/>
          <w:sz w:val="20"/>
        </w:rPr>
        <w:t>Hai hệ phân loại rối loạn tâm thần quốc tế. DSM-5 (2013, Hiệp hội Tâm thần học Hoa Kỳ) và ICD-11 (2022, Tổ chức Y tế Thế giới).</w:t>
      </w:r>
    </w:p>
    <w:p>
      <w:pPr>
        <w:spacing w:after="40"/>
      </w:pPr>
      <w:r>
        <w:rPr>
          <w:rFonts w:ascii="Times New Roman" w:hAnsi="Times New Roman"/>
          <w:b/>
          <w:color w:val="2E74B5"/>
          <w:sz w:val="22"/>
        </w:rPr>
        <w:t>Q1 / Q2 ranking / Q1 / Q2 ranking</w:t>
      </w:r>
    </w:p>
    <w:p>
      <w:pPr>
        <w:spacing w:after="40"/>
        <w:ind w:left="283"/>
      </w:pPr>
      <w:r>
        <w:rPr>
          <w:rFonts w:ascii="Times New Roman" w:hAnsi="Times New Roman"/>
          <w:sz w:val="20"/>
        </w:rPr>
        <w:t>Quartile ranking of academic journals. Q1 = top 25% by impact; Q2 = next 25%. Higher Q = harder to publish in.</w:t>
      </w:r>
    </w:p>
    <w:p>
      <w:pPr>
        <w:spacing w:after="120"/>
        <w:ind w:left="283"/>
      </w:pPr>
      <w:r>
        <w:rPr>
          <w:rFonts w:ascii="Times New Roman" w:hAnsi="Times New Roman"/>
          <w:i/>
          <w:color w:val="333333"/>
          <w:sz w:val="20"/>
        </w:rPr>
        <w:t>Phân hạng theo tứ phân vị của tạp chí học thuật. Q1 = 25% đầu theo hệ số tác động; Q2 = 25% tiếp. Q càng cao = càng khó công bố.</w:t>
      </w:r>
    </w:p>
    <w:p>
      <w:pPr>
        <w:spacing w:after="40"/>
      </w:pPr>
      <w:r>
        <w:rPr>
          <w:rFonts w:ascii="Times New Roman" w:hAnsi="Times New Roman"/>
          <w:b/>
          <w:color w:val="2E74B5"/>
          <w:sz w:val="22"/>
        </w:rPr>
        <w:t>Validated scale / Thang đo đã chuẩn hóa</w:t>
      </w:r>
    </w:p>
    <w:p>
      <w:pPr>
        <w:spacing w:after="40"/>
        <w:ind w:left="283"/>
      </w:pPr>
      <w:r>
        <w:rPr>
          <w:rFonts w:ascii="Times New Roman" w:hAnsi="Times New Roman"/>
          <w:sz w:val="20"/>
        </w:rPr>
        <w:t>A questionnaire whose reliability and validity have been tested. We use 8 such scales adapted to Vietnamese.</w:t>
      </w:r>
    </w:p>
    <w:p>
      <w:pPr>
        <w:spacing w:after="120"/>
        <w:ind w:left="283"/>
      </w:pPr>
      <w:r>
        <w:rPr>
          <w:rFonts w:ascii="Times New Roman" w:hAnsi="Times New Roman"/>
          <w:i/>
          <w:color w:val="333333"/>
          <w:sz w:val="20"/>
        </w:rPr>
        <w:t>Bảng hỏi đã được kiểm chứng độ tin cậy và tính giá trị. Chúng tôi sử dụng 8 thang đo loại này đã được chuyển ngữ sang tiếng Việt.</w:t>
      </w:r>
    </w:p>
    <w:p>
      <w:r>
        <w:br w:type="page"/>
      </w:r>
    </w:p>
    <w:p>
      <w:pPr>
        <w:spacing w:before="360" w:after="200"/>
        <w:jc w:val="center"/>
      </w:pPr>
      <w:r>
        <w:rPr>
          <w:rFonts w:ascii="Times New Roman" w:hAnsi="Times New Roman"/>
          <w:b/>
          <w:color w:val="C00000"/>
          <w:sz w:val="30"/>
        </w:rPr>
        <w:t>PAGE 1 — Why this topic matters</w:t>
      </w:r>
    </w:p>
    <w:p>
      <w:pPr>
        <w:spacing w:after="160"/>
        <w:jc w:val="center"/>
      </w:pPr>
      <w:r>
        <w:rPr>
          <w:rFonts w:ascii="Times New Roman" w:hAnsi="Times New Roman"/>
          <w:b/>
          <w:i/>
          <w:color w:val="C00000"/>
          <w:sz w:val="30"/>
        </w:rPr>
        <w:t>TRANG 1 — Tại sao đề tài này quan trọng</w:t>
      </w:r>
    </w:p>
    <w:p>
      <w:pPr>
        <w:spacing w:before="200" w:after="80"/>
      </w:pPr>
      <w:r>
        <w:rPr>
          <w:rFonts w:ascii="Times New Roman" w:hAnsi="Times New Roman"/>
          <w:b/>
          <w:color w:val="2E74B5"/>
          <w:sz w:val="24"/>
        </w:rPr>
        <w:t>1.1 — Global context / Bối cảnh toàn cầu</w:t>
      </w:r>
    </w:p>
    <w:p>
      <w:pPr>
        <w:spacing w:after="80"/>
        <w:ind w:firstLine="283"/>
        <w:jc w:val="both"/>
      </w:pPr>
      <w:r>
        <w:rPr>
          <w:rFonts w:ascii="Times New Roman" w:hAnsi="Times New Roman"/>
          <w:sz w:val="22"/>
        </w:rPr>
        <w:t>Mental disorders affect about 13% of children and adolescents worldwide, with anxiety disorders making up the largest share. Half of all lifetime mental disorders begin by age 14 (Kessler 2005), and the global prevalence in young people has risen sharply since 2010 (Kieling 2024).</w:t>
      </w:r>
    </w:p>
    <w:p>
      <w:pPr>
        <w:spacing w:after="160"/>
        <w:ind w:firstLine="283" w:left="170"/>
        <w:jc w:val="both"/>
      </w:pPr>
      <w:r>
        <w:rPr>
          <w:rFonts w:ascii="Times New Roman" w:hAnsi="Times New Roman"/>
          <w:i/>
          <w:color w:val="333333"/>
          <w:sz w:val="22"/>
        </w:rPr>
        <w:t>Trên toàn thế giới, khoảng 13% trẻ em và vị thành niên mắc rối loạn tâm thần, trong đó nhóm rối loạn lo âu chiếm tỷ trọng lớn nhất. Một nửa số ca rối loạn tâm thần khởi phát trước tuổi 14 (Kessler 2005), và tỷ lệ mắc bệnh toàn cầu ở thanh thiếu niên đã gia tăng rõ rệt từ năm 2010 (Kieling 2024).</w:t>
      </w:r>
    </w:p>
    <w:p>
      <w:pPr>
        <w:spacing w:before="200" w:after="80"/>
      </w:pPr>
      <w:r>
        <w:rPr>
          <w:rFonts w:ascii="Times New Roman" w:hAnsi="Times New Roman"/>
          <w:b/>
          <w:color w:val="2E74B5"/>
          <w:sz w:val="24"/>
        </w:rPr>
        <w:t>1.2 — Vietnamese context / Bối cảnh Việt Nam</w:t>
      </w:r>
    </w:p>
    <w:p>
      <w:pPr>
        <w:spacing w:after="80"/>
        <w:ind w:firstLine="283"/>
        <w:jc w:val="both"/>
      </w:pPr>
      <w:r>
        <w:rPr>
          <w:rFonts w:ascii="Times New Roman" w:hAnsi="Times New Roman"/>
          <w:sz w:val="22"/>
        </w:rPr>
        <w:t>Vietnamese lower secondary students (ages 11–14) face a unique combination of pressures: high academic competition (Confucian culture), rapid digital connectivity, and tightening gender expectations during early adolescence. This is exactly the period when anxiety disorders are most likely to first appear.</w:t>
      </w:r>
    </w:p>
    <w:p>
      <w:pPr>
        <w:spacing w:after="160"/>
        <w:ind w:firstLine="283" w:left="170"/>
        <w:jc w:val="both"/>
      </w:pPr>
      <w:r>
        <w:rPr>
          <w:rFonts w:ascii="Times New Roman" w:hAnsi="Times New Roman"/>
          <w:i/>
          <w:color w:val="333333"/>
          <w:sz w:val="22"/>
        </w:rPr>
        <w:t>Học sinh trung học cơ sở Việt Nam (11–14 tuổi) đối diện với một tổ hợp áp lực đặc thù: cạnh tranh học tập cao theo văn hóa Nho giáo, kết nối số bùng nổ, và kỳ vọng giới ngày càng nghiêm ngặt ở đầu vị thành niên. Đây cũng chính là giai đoạn dễ khởi phát rối loạn lo âu nhất.</w:t>
      </w:r>
    </w:p>
    <w:p>
      <w:pPr>
        <w:spacing w:before="200" w:after="80"/>
      </w:pPr>
      <w:r>
        <w:rPr>
          <w:rFonts w:ascii="Times New Roman" w:hAnsi="Times New Roman"/>
          <w:b/>
          <w:color w:val="2E74B5"/>
          <w:sz w:val="24"/>
        </w:rPr>
        <w:t>1.3 — What this project does / Đề tài này làm gì</w:t>
      </w:r>
    </w:p>
    <w:p>
      <w:pPr>
        <w:spacing w:after="80"/>
        <w:ind w:firstLine="283"/>
        <w:jc w:val="both"/>
      </w:pPr>
      <w:r>
        <w:rPr>
          <w:rFonts w:ascii="Times New Roman" w:hAnsi="Times New Roman"/>
          <w:sz w:val="22"/>
        </w:rPr>
        <w:t>NCS Công Thị Hằng surveyed 1,352 lower secondary students in Hanoi (Nhat Tan and Tay Mo schools) using 8 validated scales. The data feed three planned international papers: Q2 (integrated model), Q3 (gender-specific pathways), and Q4 (student profile typology).</w:t>
      </w:r>
    </w:p>
    <w:p>
      <w:pPr>
        <w:spacing w:after="160"/>
        <w:ind w:firstLine="283" w:left="170"/>
        <w:jc w:val="both"/>
      </w:pPr>
      <w:r>
        <w:rPr>
          <w:rFonts w:ascii="Times New Roman" w:hAnsi="Times New Roman"/>
          <w:i/>
          <w:color w:val="333333"/>
          <w:sz w:val="22"/>
        </w:rPr>
        <w:t>NCS Công Thị Hằng khảo sát 1.352 học sinh THCS Hà Nội (trường Nhật Tân và Tây Mỗ) dùng 8 thang đo đã được chuẩn hóa. Bộ dữ liệu này sẽ phục vụ ba bài báo quốc tế đã lên kế hoạch: Q2 (mô hình tích hợp), Q3 (đường dẫn theo giới), Q4 (phân loại học sinh).</w:t>
      </w:r>
    </w:p>
    <w:p>
      <w:pPr>
        <w:spacing w:before="160" w:after="160"/>
        <w:ind w:left="283" w:right="283"/>
      </w:pPr>
      <w:r>
        <w:rPr>
          <w:rFonts w:ascii="Times New Roman" w:hAnsi="Times New Roman"/>
          <w:b/>
          <w:color w:val="006E2E"/>
          <w:sz w:val="22"/>
        </w:rPr>
        <w:t>▣ KEY CONCEPT — Anxiety disorders are not "just stress" — they are clinically distinct conditions with specific diagnostic criteria, lasting months and impairing daily life.</w:t>
      </w:r>
    </w:p>
    <w:p>
      <w:pPr>
        <w:spacing w:after="200"/>
        <w:ind w:left="283" w:right="283"/>
      </w:pPr>
      <w:r>
        <w:rPr>
          <w:rFonts w:ascii="Times New Roman" w:hAnsi="Times New Roman"/>
          <w:b/>
          <w:i/>
          <w:color w:val="006E2E"/>
          <w:sz w:val="22"/>
        </w:rPr>
        <w:t>▣ KHÁI NIỆM CỐT LÕI — Rối loạn lo âu KHÔNG đơn thuần là "căng thẳng" — đó là tình trạng lâm sàng riêng biệt, có tiêu chí chẩn đoán cụ thể, kéo dài nhiều tháng và làm suy giảm chức năng sinh hoạt hàng ngày.</w:t>
      </w:r>
    </w:p>
    <w:p>
      <w:pPr>
        <w:spacing w:before="200" w:after="80"/>
      </w:pPr>
      <w:r>
        <w:rPr>
          <w:rFonts w:ascii="Times New Roman" w:hAnsi="Times New Roman"/>
          <w:b/>
          <w:color w:val="2E74B5"/>
          <w:sz w:val="24"/>
        </w:rPr>
        <w:t>1.4 — Meet our example student / Làm quen với học sinh ví dụ</w:t>
      </w:r>
    </w:p>
    <w:p>
      <w:pPr>
        <w:spacing w:after="80"/>
        <w:ind w:firstLine="283"/>
        <w:jc w:val="both"/>
      </w:pPr>
      <w:r>
        <w:rPr>
          <w:rFonts w:ascii="Times New Roman" w:hAnsi="Times New Roman"/>
          <w:sz w:val="22"/>
        </w:rPr>
        <w:t>Throughout this primer we use a hypothetical student, "Mai", to ground abstract ideas. Mai is 13 years old, in grade 7 at Tay Mo school in Hanoi. She studies hard, but recently has been avoiding class presentations and complaining of stomach aches on school mornings. Her parents wonder if it is just teenage mood or something more. Each page below will return to Mai briefly to show how the concept applies in real life.</w:t>
      </w:r>
    </w:p>
    <w:p>
      <w:pPr>
        <w:spacing w:after="160"/>
        <w:ind w:firstLine="283" w:left="170"/>
        <w:jc w:val="both"/>
      </w:pPr>
      <w:r>
        <w:rPr>
          <w:rFonts w:ascii="Times New Roman" w:hAnsi="Times New Roman"/>
          <w:i/>
          <w:color w:val="333333"/>
          <w:sz w:val="22"/>
        </w:rPr>
        <w:t>Xuyên suốt tài liệu này, chúng ta dùng một học sinh giả định tên "Mai" để làm rõ các khái niệm trừu tượng. Mai 13 tuổi, học lớp 7 trường Tây Mỗ Hà Nội. Em học chăm, nhưng gần đây hay tránh thuyết trình trước lớp và phàn nàn đau bụng vào sáng những ngày đi học. Cha mẹ Mai phân vân không biết đây là tâm trạng tuổi teen bình thường hay điều gì đó nghiêm trọng hơn. Mỗi trang dưới đây sẽ quay lại với Mai một chút để minh họa khái niệm áp dụng trong đời thực.</w:t>
      </w:r>
    </w:p>
    <w:p>
      <w:pPr>
        <w:spacing w:before="200" w:after="80"/>
      </w:pPr>
      <w:r>
        <w:rPr>
          <w:rFonts w:ascii="Times New Roman" w:hAnsi="Times New Roman"/>
          <w:b/>
          <w:color w:val="2E74B5"/>
          <w:sz w:val="24"/>
        </w:rPr>
        <w:t>1.5 — Self-check / Câu hỏi tự kiểm tra</w:t>
      </w:r>
    </w:p>
    <w:p>
      <w:pPr>
        <w:spacing w:after="80"/>
        <w:ind w:firstLine="283"/>
        <w:jc w:val="both"/>
      </w:pPr>
      <w:r>
        <w:rPr>
          <w:rFonts w:ascii="Times New Roman" w:hAnsi="Times New Roman"/>
          <w:sz w:val="22"/>
        </w:rPr>
        <w:t>Q: Why does adolescence (ages 11–18) deserve special attention in mental health research?</w:t>
      </w:r>
    </w:p>
    <w:p>
      <w:pPr>
        <w:spacing w:after="160"/>
        <w:ind w:firstLine="283" w:left="170"/>
        <w:jc w:val="both"/>
      </w:pPr>
      <w:r>
        <w:rPr>
          <w:rFonts w:ascii="Times New Roman" w:hAnsi="Times New Roman"/>
          <w:i/>
          <w:color w:val="333333"/>
          <w:sz w:val="22"/>
        </w:rPr>
        <w:t>Hỏi: Tại sao tuổi vị thành niên (11–18) cần được chú ý đặc biệt trong nghiên cứu sức khỏe tâm thần?</w:t>
      </w:r>
    </w:p>
    <w:p>
      <w:pPr>
        <w:spacing w:after="80"/>
        <w:ind w:firstLine="283"/>
        <w:jc w:val="both"/>
      </w:pPr>
      <w:r>
        <w:rPr>
          <w:rFonts w:ascii="Times New Roman" w:hAnsi="Times New Roman"/>
          <w:sz w:val="22"/>
        </w:rPr>
        <w:t>A: Because half of all lifetime mental disorders begin by age 14 (Kessler 2005), and the cohort is currently undergoing the fastest physical, social, and emotional development of life.</w:t>
      </w:r>
    </w:p>
    <w:p>
      <w:pPr>
        <w:spacing w:after="160"/>
        <w:ind w:firstLine="283" w:left="170"/>
        <w:jc w:val="both"/>
      </w:pPr>
      <w:r>
        <w:rPr>
          <w:rFonts w:ascii="Times New Roman" w:hAnsi="Times New Roman"/>
          <w:i/>
          <w:color w:val="333333"/>
          <w:sz w:val="22"/>
        </w:rPr>
        <w:t>Đáp: Vì một nửa số ca rối loạn tâm thần khởi phát trước tuổi 14 (Kessler 2005), và đây là giai đoạn phát triển nhanh nhất về thể chất, xã hội, và cảm xúc trong đời.</w:t>
      </w:r>
    </w:p>
    <w:p>
      <w:r>
        <w:br w:type="page"/>
      </w:r>
    </w:p>
    <w:p>
      <w:pPr>
        <w:spacing w:before="360" w:after="200"/>
        <w:jc w:val="center"/>
      </w:pPr>
      <w:r>
        <w:rPr>
          <w:rFonts w:ascii="Times New Roman" w:hAnsi="Times New Roman"/>
          <w:b/>
          <w:color w:val="C00000"/>
          <w:sz w:val="30"/>
        </w:rPr>
        <w:t>PAGE 2 — What is anxiety? Classification systems</w:t>
      </w:r>
    </w:p>
    <w:p>
      <w:pPr>
        <w:spacing w:after="160"/>
        <w:jc w:val="center"/>
      </w:pPr>
      <w:r>
        <w:rPr>
          <w:rFonts w:ascii="Times New Roman" w:hAnsi="Times New Roman"/>
          <w:b/>
          <w:i/>
          <w:color w:val="C00000"/>
          <w:sz w:val="30"/>
        </w:rPr>
        <w:t>TRANG 2 — Lo âu là gì? Hệ phân loại quốc tế</w:t>
      </w:r>
    </w:p>
    <w:p>
      <w:pPr>
        <w:spacing w:before="200" w:after="80"/>
      </w:pPr>
      <w:r>
        <w:rPr>
          <w:rFonts w:ascii="Times New Roman" w:hAnsi="Times New Roman"/>
          <w:b/>
          <w:color w:val="2E74B5"/>
          <w:sz w:val="24"/>
        </w:rPr>
        <w:t>2.1 — Normal worry vs anxiety disorder / Lo lắng thường vs rối loạn lo âu</w:t>
      </w:r>
    </w:p>
    <w:p>
      <w:pPr>
        <w:spacing w:after="80"/>
        <w:ind w:firstLine="283"/>
        <w:jc w:val="both"/>
      </w:pPr>
      <w:r>
        <w:rPr>
          <w:rFonts w:ascii="Times New Roman" w:hAnsi="Times New Roman"/>
          <w:sz w:val="22"/>
        </w:rPr>
        <w:t>Everyone feels anxious sometimes — before an exam, a job interview, or a stage performance. This is normal and even helpful (it sharpens focus). An anxiety DISORDER is different: the worry is (1) persistent (lasting at least 6 months for most disorders), (2) disproportionate to actual threats, and (3) impairing — disrupting school, family, or social life.</w:t>
      </w:r>
    </w:p>
    <w:p>
      <w:pPr>
        <w:spacing w:after="160"/>
        <w:ind w:firstLine="283" w:left="170"/>
        <w:jc w:val="both"/>
      </w:pPr>
      <w:r>
        <w:rPr>
          <w:rFonts w:ascii="Times New Roman" w:hAnsi="Times New Roman"/>
          <w:i/>
          <w:color w:val="333333"/>
          <w:sz w:val="22"/>
        </w:rPr>
        <w:t>Ai cũng có lúc lo lắng — trước kỳ thi, phỏng vấn việc làm, hay biểu diễn trên sân khấu. Đây là lo lắng bình thường, thậm chí có ích (giúp tập trung tốt hơn). RỐI LOẠN lo âu thì khác: lo lắng (1) dai dẳng (thường tối thiểu 6 tháng), (2) không tương xứng với mức đe dọa thực tế, và (3) gây suy giảm — ảnh hưởng việc học, gia đình, hoặc đời sống xã hội.</w:t>
      </w:r>
    </w:p>
    <w:p>
      <w:pPr>
        <w:spacing w:before="200" w:after="80"/>
      </w:pPr>
      <w:r>
        <w:rPr>
          <w:rFonts w:ascii="Times New Roman" w:hAnsi="Times New Roman"/>
          <w:b/>
          <w:color w:val="2E74B5"/>
          <w:sz w:val="24"/>
        </w:rPr>
        <w:t>2.2 — Two main classification systems / Hai hệ phân loại chính</w:t>
      </w:r>
    </w:p>
    <w:p>
      <w:pPr>
        <w:spacing w:after="80"/>
        <w:ind w:firstLine="283"/>
        <w:jc w:val="both"/>
      </w:pPr>
      <w:r>
        <w:rPr>
          <w:rFonts w:ascii="Times New Roman" w:hAnsi="Times New Roman"/>
          <w:sz w:val="22"/>
        </w:rPr>
        <w:t>Worldwide, mental disorders are classified using two systems. DSM (Diagnostic and Statistical Manual) is published by the American Psychiatric Association — current edition is DSM-5-TR (2022), which contains the DSM-5 (2013, 237 disorders) plus 3 new diagnoses and revisions to over 70 criteria sets. ICD (International Classification of Diseases) is published by WHO — current edition ICD-11 Chapter 06 (effective worldwide from 01/01/2022) contains 162 anxiety/stress-related categories.</w:t>
      </w:r>
    </w:p>
    <w:p>
      <w:pPr>
        <w:spacing w:after="160"/>
        <w:ind w:firstLine="283" w:left="170"/>
        <w:jc w:val="both"/>
      </w:pPr>
      <w:r>
        <w:rPr>
          <w:rFonts w:ascii="Times New Roman" w:hAnsi="Times New Roman"/>
          <w:i/>
          <w:color w:val="333333"/>
          <w:sz w:val="22"/>
        </w:rPr>
        <w:t>Trên thế giới, rối loạn tâm thần được phân loại theo hai hệ thống. DSM (Sổ tay Chẩn đoán và Thống kê các Rối loạn Tâm thần) do Hiệp hội Tâm thần học Hoa Kỳ phát hành — phiên bản hiện hành là DSM-5-TR (2022), gồm DSM-5 (2013, 237 rối loạn) cộng thêm 3 chẩn đoán mới và sửa hơn 70 bộ tiêu chuẩn (First 2022). ICD (Phân loại Quốc tế các Bệnh) do WHO phát hành — phiên bản hiện hành ICD-11 Chương 06 (hiệu lực toàn cầu từ 01/01/2022) có 162 mục liên quan tới lo âu/stress (Pezzella 2022).</w:t>
      </w:r>
    </w:p>
    <w:p>
      <w:pPr>
        <w:spacing w:before="200" w:after="80"/>
      </w:pPr>
      <w:r>
        <w:rPr>
          <w:rFonts w:ascii="Times New Roman" w:hAnsi="Times New Roman"/>
          <w:b/>
          <w:color w:val="2E74B5"/>
          <w:sz w:val="24"/>
        </w:rPr>
        <w:t>2.3 — Why this matters for our project / Tại sao quan trọng cho đề tài</w:t>
      </w:r>
    </w:p>
    <w:p>
      <w:pPr>
        <w:spacing w:after="80"/>
        <w:ind w:firstLine="283"/>
        <w:jc w:val="both"/>
      </w:pPr>
      <w:r>
        <w:rPr>
          <w:rFonts w:ascii="Times New Roman" w:hAnsi="Times New Roman"/>
          <w:sz w:val="22"/>
        </w:rPr>
        <w:t>NCS Công Thị Hằng uses DSM-5 categories to identify three anxiety subtypes (GAD, SAD, SocAD — see Page 3). Using a standard international system means the findings can be directly compared with research from other countries — a requirement for Q-ranked international journals.</w:t>
      </w:r>
    </w:p>
    <w:p>
      <w:pPr>
        <w:spacing w:after="160"/>
        <w:ind w:firstLine="283" w:left="170"/>
        <w:jc w:val="both"/>
      </w:pPr>
      <w:r>
        <w:rPr>
          <w:rFonts w:ascii="Times New Roman" w:hAnsi="Times New Roman"/>
          <w:i/>
          <w:color w:val="333333"/>
          <w:sz w:val="22"/>
        </w:rPr>
        <w:t>NCS Công Thị Hằng dùng phân loại DSM-5 để xác định ba phân loại lo âu (GAD, SAD, SocAD — xem Trang 3). Sử dụng hệ thống quốc tế chuẩn cho phép so sánh trực tiếp kết quả với nghiên cứu từ các quốc gia khác — yêu cầu bắt buộc của các tạp chí quốc tế thứ hạng Q.</w:t>
      </w:r>
    </w:p>
    <w:p>
      <w:r>
        <w:br w:type="page"/>
      </w:r>
    </w:p>
    <w:p>
      <w:pPr>
        <w:spacing w:before="360" w:after="200"/>
        <w:jc w:val="center"/>
      </w:pPr>
      <w:r>
        <w:rPr>
          <w:rFonts w:ascii="Times New Roman" w:hAnsi="Times New Roman"/>
          <w:b/>
          <w:color w:val="C00000"/>
          <w:sz w:val="30"/>
        </w:rPr>
        <w:t>PAGE 3 — Three anxiety subtypes in the project</w:t>
      </w:r>
    </w:p>
    <w:p>
      <w:pPr>
        <w:spacing w:after="160"/>
        <w:jc w:val="center"/>
      </w:pPr>
      <w:r>
        <w:rPr>
          <w:rFonts w:ascii="Times New Roman" w:hAnsi="Times New Roman"/>
          <w:b/>
          <w:i/>
          <w:color w:val="C00000"/>
          <w:sz w:val="30"/>
        </w:rPr>
        <w:t>TRANG 3 — Ba phân loại lo âu trong đề tài</w:t>
      </w:r>
    </w:p>
    <w:p>
      <w:pPr>
        <w:spacing w:before="200" w:after="80"/>
      </w:pPr>
      <w:r>
        <w:rPr>
          <w:rFonts w:ascii="Times New Roman" w:hAnsi="Times New Roman"/>
          <w:b/>
          <w:color w:val="2E74B5"/>
          <w:sz w:val="24"/>
        </w:rPr>
        <w:t>3.1 — Generalized Anxiety Disorder (GAD) / Rối loạn lo âu lan tỏa</w:t>
      </w:r>
    </w:p>
    <w:p>
      <w:pPr>
        <w:spacing w:after="80"/>
        <w:ind w:firstLine="283"/>
        <w:jc w:val="both"/>
      </w:pPr>
      <w:r>
        <w:rPr>
          <w:rFonts w:ascii="Times New Roman" w:hAnsi="Times New Roman"/>
          <w:sz w:val="22"/>
        </w:rPr>
        <w:t>GAD is characterized by excessive worry about many different things — schoolwork, family health, the future — most days for at least 6 months. The worry feels uncontrollable and is accompanied by physical symptoms (muscle tension, sleep problems, fatigue). In our sample, NCS measured GAD using 7 items from the RCADS scale.</w:t>
      </w:r>
    </w:p>
    <w:p>
      <w:pPr>
        <w:spacing w:after="160"/>
        <w:ind w:firstLine="283" w:left="170"/>
        <w:jc w:val="both"/>
      </w:pPr>
      <w:r>
        <w:rPr>
          <w:rFonts w:ascii="Times New Roman" w:hAnsi="Times New Roman"/>
          <w:i/>
          <w:color w:val="333333"/>
          <w:sz w:val="22"/>
        </w:rPr>
        <w:t>GAD đặc trưng bởi lo lắng quá mức về nhiều thứ khác nhau — việc học, sức khỏe gia đình, tương lai — gần như hàng ngày trong tối thiểu 6 tháng. Lo lắng cảm thấy không kiểm soát được và đi kèm triệu chứng cơ thể (căng cơ, mất ngủ, mệt mỏi). Trong mẫu nghiên cứu, NCS đo GAD bằng 7 mục của thang RCADS.</w:t>
      </w:r>
    </w:p>
    <w:p>
      <w:pPr>
        <w:spacing w:before="200" w:after="80"/>
      </w:pPr>
      <w:r>
        <w:rPr>
          <w:rFonts w:ascii="Times New Roman" w:hAnsi="Times New Roman"/>
          <w:b/>
          <w:color w:val="2E74B5"/>
          <w:sz w:val="24"/>
        </w:rPr>
        <w:t>3.2 — Separation Anxiety Disorder (SAD) / Rối loạn lo âu chia ly</w:t>
      </w:r>
    </w:p>
    <w:p>
      <w:pPr>
        <w:spacing w:after="80"/>
        <w:ind w:firstLine="283"/>
        <w:jc w:val="both"/>
      </w:pPr>
      <w:r>
        <w:rPr>
          <w:rFonts w:ascii="Times New Roman" w:hAnsi="Times New Roman"/>
          <w:sz w:val="22"/>
        </w:rPr>
        <w:t>SAD is excessive fear of being apart from major attachment figures (usually parents). Adolescents with SAD worry that something bad will happen to a loved one, refuse to sleep away from home, or have nightmares about separation. Once thought to be "only a child disorder", SAD is now recognized as common and impairing in adolescents too. Measured with 4 items from RCADS.</w:t>
      </w:r>
    </w:p>
    <w:p>
      <w:pPr>
        <w:spacing w:after="160"/>
        <w:ind w:firstLine="283" w:left="170"/>
        <w:jc w:val="both"/>
      </w:pPr>
      <w:r>
        <w:rPr>
          <w:rFonts w:ascii="Times New Roman" w:hAnsi="Times New Roman"/>
          <w:i/>
          <w:color w:val="333333"/>
          <w:sz w:val="22"/>
        </w:rPr>
        <w:t>SAD là nỗi sợ quá mức khi xa cách người thân quan trọng (thường là cha mẹ). Vị thành niên mắc SAD lo lắng có chuyện xấu xảy ra với người thân, từ chối ngủ xa nhà, hay gặp ác mộng về sự chia ly. Trước đây cho là "rối loạn chỉ có ở trẻ em", SAD nay được công nhận xuất hiện phổ biến và gây suy giảm ở vị thành niên. Đo bằng 4 mục của RCADS.</w:t>
      </w:r>
    </w:p>
    <w:p>
      <w:pPr>
        <w:spacing w:before="200" w:after="80"/>
      </w:pPr>
      <w:r>
        <w:rPr>
          <w:rFonts w:ascii="Times New Roman" w:hAnsi="Times New Roman"/>
          <w:b/>
          <w:color w:val="2E74B5"/>
          <w:sz w:val="24"/>
        </w:rPr>
        <w:t>3.3 — Social Anxiety Disorder (SocAD) / Rối loạn lo âu xã hội</w:t>
      </w:r>
    </w:p>
    <w:p>
      <w:pPr>
        <w:spacing w:after="80"/>
        <w:ind w:firstLine="283"/>
        <w:jc w:val="both"/>
      </w:pPr>
      <w:r>
        <w:rPr>
          <w:rFonts w:ascii="Times New Roman" w:hAnsi="Times New Roman"/>
          <w:sz w:val="22"/>
        </w:rPr>
        <w:t>SocAD is intense fear of being judged or embarrassed in social situations — public speaking, meeting strangers, eating in public. Adolescents with SocAD may avoid school, refuse to speak in class, or become physically ill before social events. Lifetime prevalence reaches 12% in the US (Kessler 2005). Measured with 4 RCADS items.</w:t>
      </w:r>
    </w:p>
    <w:p>
      <w:pPr>
        <w:spacing w:after="160"/>
        <w:ind w:firstLine="283" w:left="170"/>
        <w:jc w:val="both"/>
      </w:pPr>
      <w:r>
        <w:rPr>
          <w:rFonts w:ascii="Times New Roman" w:hAnsi="Times New Roman"/>
          <w:i/>
          <w:color w:val="333333"/>
          <w:sz w:val="22"/>
        </w:rPr>
        <w:t>SocAD là nỗi sợ mãnh liệt bị đánh giá hay xấu hổ trong tình huống xã hội — thuyết trình, gặp người lạ, ăn nơi công cộng. Vị thành niên mắc SocAD có thể trốn học, từ chối phát biểu trong lớp, hoặc bị ốm thể chất trước sự kiện xã hội. Tỷ lệ mắc trong đời lên tới 12% ở Mỹ (Kessler 2005). Đo bằng 4 mục RCADS.</w:t>
      </w:r>
    </w:p>
    <w:p>
      <w:pPr>
        <w:spacing w:before="160" w:after="160"/>
        <w:ind w:left="283" w:right="283"/>
      </w:pPr>
      <w:r>
        <w:rPr>
          <w:rFonts w:ascii="Times New Roman" w:hAnsi="Times New Roman"/>
          <w:b/>
          <w:color w:val="006E2E"/>
          <w:sz w:val="22"/>
        </w:rPr>
        <w:t>▣ KEY CONCEPT — All three subtypes share core anxiety machinery (excess fear + avoidance) but differ in WHAT triggers fear. This distinction matters for intervention design.</w:t>
      </w:r>
    </w:p>
    <w:p>
      <w:pPr>
        <w:spacing w:after="200"/>
        <w:ind w:left="283" w:right="283"/>
      </w:pPr>
      <w:r>
        <w:rPr>
          <w:rFonts w:ascii="Times New Roman" w:hAnsi="Times New Roman"/>
          <w:b/>
          <w:i/>
          <w:color w:val="006E2E"/>
          <w:sz w:val="22"/>
        </w:rPr>
        <w:t>▣ KHÁI NIỆM CỐT LÕI — Cả ba phân loại đều chia sẻ cơ chế lo âu cốt lõi (sợ quá mức + né tránh) nhưng KHÁC nhau ở yếu tố gây sợ. Sự khác biệt này quan trọng cho thiết kế can thiệp.</w:t>
      </w:r>
    </w:p>
    <w:p>
      <w:pPr>
        <w:spacing w:before="200" w:after="80"/>
      </w:pPr>
      <w:r>
        <w:rPr>
          <w:rFonts w:ascii="Times New Roman" w:hAnsi="Times New Roman"/>
          <w:b/>
          <w:color w:val="2E74B5"/>
          <w:sz w:val="24"/>
        </w:rPr>
        <w:t>3.4 — Back to Mai / Quay lại với Mai</w:t>
      </w:r>
    </w:p>
    <w:p>
      <w:pPr>
        <w:spacing w:after="80"/>
        <w:ind w:firstLine="283"/>
        <w:jc w:val="both"/>
      </w:pPr>
      <w:r>
        <w:rPr>
          <w:rFonts w:ascii="Times New Roman" w:hAnsi="Times New Roman"/>
          <w:sz w:val="22"/>
        </w:rPr>
        <w:t>Mai's avoidance of class presentations and physical symptoms before school suggest SocAD (Social Anxiety Disorder) is most likely — fear of being judged in social situations. She does not show separation anxiety (does not refuse to sleep alone) or generalized worry about many topics. A clinician would screen her using RCADS subscales to confirm.</w:t>
      </w:r>
    </w:p>
    <w:p>
      <w:pPr>
        <w:spacing w:after="160"/>
        <w:ind w:firstLine="283" w:left="170"/>
        <w:jc w:val="both"/>
      </w:pPr>
      <w:r>
        <w:rPr>
          <w:rFonts w:ascii="Times New Roman" w:hAnsi="Times New Roman"/>
          <w:i/>
          <w:color w:val="333333"/>
          <w:sz w:val="22"/>
        </w:rPr>
        <w:t>Việc Mai tránh thuyết trình và có triệu chứng cơ thể trước khi đến trường gợi ý nhiều khả năng là SocAD (Rối loạn Lo âu Xã hội) — sợ bị đánh giá trong tình huống xã hội. Mai không có biểu hiện lo âu chia ly (không từ chối ngủ một mình) hay lo lắng lan tỏa về nhiều chủ đề. Bác sĩ tâm lý sẽ sàng lọc bằng các tiểu thang RCADS để xác nhận.</w:t>
      </w:r>
    </w:p>
    <w:p>
      <w:pPr>
        <w:spacing w:before="200" w:after="80"/>
      </w:pPr>
      <w:r>
        <w:rPr>
          <w:rFonts w:ascii="Times New Roman" w:hAnsi="Times New Roman"/>
          <w:b/>
          <w:color w:val="2E74B5"/>
          <w:sz w:val="24"/>
        </w:rPr>
        <w:t>3.5 — Self-check / Câu hỏi tự kiểm tra</w:t>
      </w:r>
    </w:p>
    <w:p>
      <w:pPr>
        <w:spacing w:after="80"/>
        <w:ind w:firstLine="283"/>
        <w:jc w:val="both"/>
      </w:pPr>
      <w:r>
        <w:rPr>
          <w:rFonts w:ascii="Times New Roman" w:hAnsi="Times New Roman"/>
          <w:sz w:val="22"/>
        </w:rPr>
        <w:t>Q: How can a teacher tell SocAD apart from ordinary shyness?</w:t>
      </w:r>
    </w:p>
    <w:p>
      <w:pPr>
        <w:spacing w:after="160"/>
        <w:ind w:firstLine="283" w:left="170"/>
        <w:jc w:val="both"/>
      </w:pPr>
      <w:r>
        <w:rPr>
          <w:rFonts w:ascii="Times New Roman" w:hAnsi="Times New Roman"/>
          <w:i/>
          <w:color w:val="333333"/>
          <w:sz w:val="22"/>
        </w:rPr>
        <w:t>Hỏi: Làm sao giáo viên có thể phân biệt SocAD với sự nhút nhát thông thường?</w:t>
      </w:r>
    </w:p>
    <w:p>
      <w:pPr>
        <w:spacing w:after="80"/>
        <w:ind w:firstLine="283"/>
        <w:jc w:val="both"/>
      </w:pPr>
      <w:r>
        <w:rPr>
          <w:rFonts w:ascii="Times New Roman" w:hAnsi="Times New Roman"/>
          <w:sz w:val="22"/>
        </w:rPr>
        <w:t>A: SocAD is persistent (months), excessive (fear far greater than the actual risk), and impairing (the student avoids school or fails academically). Shyness is mild, transient, and does not disrupt functioning.</w:t>
      </w:r>
    </w:p>
    <w:p>
      <w:pPr>
        <w:spacing w:after="160"/>
        <w:ind w:firstLine="283" w:left="170"/>
        <w:jc w:val="both"/>
      </w:pPr>
      <w:r>
        <w:rPr>
          <w:rFonts w:ascii="Times New Roman" w:hAnsi="Times New Roman"/>
          <w:i/>
          <w:color w:val="333333"/>
          <w:sz w:val="22"/>
        </w:rPr>
        <w:t>Đáp: SocAD dai dẳng (nhiều tháng), quá mức (sợ vượt xa nguy cơ thực), và gây suy giảm (học sinh trốn học hoặc kết quả học tập kém). Nhút nhát thì nhẹ, thoáng qua, và không làm gián đoạn chức năng.</w:t>
      </w:r>
    </w:p>
    <w:p>
      <w:r>
        <w:br w:type="page"/>
      </w:r>
    </w:p>
    <w:p>
      <w:pPr>
        <w:spacing w:before="360" w:after="200"/>
        <w:jc w:val="center"/>
      </w:pPr>
      <w:r>
        <w:rPr>
          <w:rFonts w:ascii="Times New Roman" w:hAnsi="Times New Roman"/>
          <w:b/>
          <w:color w:val="C00000"/>
          <w:sz w:val="30"/>
        </w:rPr>
        <w:t>PAGE 4 — Three risk factors in our model</w:t>
      </w:r>
    </w:p>
    <w:p>
      <w:pPr>
        <w:spacing w:after="160"/>
        <w:jc w:val="center"/>
      </w:pPr>
      <w:r>
        <w:rPr>
          <w:rFonts w:ascii="Times New Roman" w:hAnsi="Times New Roman"/>
          <w:b/>
          <w:i/>
          <w:color w:val="C00000"/>
          <w:sz w:val="30"/>
        </w:rPr>
        <w:t>TRANG 4 — Ba yếu tố nguy cơ trong mô hình</w:t>
      </w:r>
    </w:p>
    <w:p>
      <w:pPr>
        <w:spacing w:before="200" w:after="80"/>
      </w:pPr>
      <w:r>
        <w:rPr>
          <w:rFonts w:ascii="Times New Roman" w:hAnsi="Times New Roman"/>
          <w:b/>
          <w:color w:val="2E74B5"/>
          <w:sz w:val="24"/>
        </w:rPr>
        <w:t>4.1 — School bullying / Bắt nạt học đường</w:t>
      </w:r>
    </w:p>
    <w:p>
      <w:pPr>
        <w:spacing w:after="80"/>
        <w:ind w:firstLine="283"/>
        <w:jc w:val="both"/>
      </w:pPr>
      <w:r>
        <w:rPr>
          <w:rFonts w:ascii="Times New Roman" w:hAnsi="Times New Roman"/>
          <w:sz w:val="22"/>
        </w:rPr>
        <w:t>Bullying is repeated aggressive behavior aimed at causing harm to a peer with less power. It includes physical (hitting), verbal (insults, threats), and relational (exclusion, rumors) forms. NCS used the Olweus Bully/Victim Questionnaire (OBVQ, 8 items) to measure victimization. In our preliminary results, bullying showed the strongest pathway to Social Anxiety Disorder (β = 0.376).</w:t>
      </w:r>
    </w:p>
    <w:p>
      <w:pPr>
        <w:spacing w:after="160"/>
        <w:ind w:firstLine="283" w:left="170"/>
        <w:jc w:val="both"/>
      </w:pPr>
      <w:r>
        <w:rPr>
          <w:rFonts w:ascii="Times New Roman" w:hAnsi="Times New Roman"/>
          <w:i/>
          <w:color w:val="333333"/>
          <w:sz w:val="22"/>
        </w:rPr>
        <w:t>Bắt nạt là hành vi gây hại lặp đi lặp lại nhắm vào bạn cùng lứa có sức mạnh thấp hơn. Bao gồm bắt nạt thể chất (đánh đập), lời nói (xúc phạm, đe dọa), và quan hệ (cô lập, đồn đại). NCS dùng thang Olweus Bully/Victim (OBVQ, 8 mục) để đo nạn nhân hóa. Trong kết quả sơ bộ, bắt nạt cho thấy đường dẫn mạnh nhất tới Rối loạn Lo âu Xã hội (β = 0,376).</w:t>
      </w:r>
    </w:p>
    <w:p>
      <w:pPr>
        <w:spacing w:before="200" w:after="80"/>
      </w:pPr>
      <w:r>
        <w:rPr>
          <w:rFonts w:ascii="Times New Roman" w:hAnsi="Times New Roman"/>
          <w:b/>
          <w:color w:val="2E74B5"/>
          <w:sz w:val="24"/>
        </w:rPr>
        <w:t>4.2 — Academic stress / Áp lực học tập</w:t>
      </w:r>
    </w:p>
    <w:p>
      <w:pPr>
        <w:spacing w:after="80"/>
        <w:ind w:firstLine="283"/>
        <w:jc w:val="both"/>
      </w:pPr>
      <w:r>
        <w:rPr>
          <w:rFonts w:ascii="Times New Roman" w:hAnsi="Times New Roman"/>
          <w:sz w:val="22"/>
        </w:rPr>
        <w:t>Academic stress in Vietnamese adolescents is shaped by the Confucian "unforgiving culture" — high expectations from parents, teachers, and society about exam performance and university entry (Stankov 2010). NCS measured this using 4 items from the ESSA scale (Educational Stress Scale for Adolescents). Academic stress was the strongest predictor of total anxiety (β = 0.510).</w:t>
      </w:r>
    </w:p>
    <w:p>
      <w:pPr>
        <w:spacing w:after="160"/>
        <w:ind w:firstLine="283" w:left="170"/>
        <w:jc w:val="both"/>
      </w:pPr>
      <w:r>
        <w:rPr>
          <w:rFonts w:ascii="Times New Roman" w:hAnsi="Times New Roman"/>
          <w:i/>
          <w:color w:val="333333"/>
          <w:sz w:val="22"/>
        </w:rPr>
        <w:t>Áp lực học tập ở vị thành niên Việt Nam được định hình bởi "văn hóa Nho giáo nghiêm khắc" — kỳ vọng cao từ cha mẹ, giáo viên, và xã hội về thành tích kỳ thi và vào đại học (Stankov 2010). NCS đo bằng 4 mục thang ESSA (Educational Stress Scale for Adolescents). Áp lực học tập là yếu tố dự báo mạnh nhất tới tổng RLLA (β = 0,510).</w:t>
      </w:r>
    </w:p>
    <w:p>
      <w:pPr>
        <w:spacing w:before="200" w:after="80"/>
      </w:pPr>
      <w:r>
        <w:rPr>
          <w:rFonts w:ascii="Times New Roman" w:hAnsi="Times New Roman"/>
          <w:b/>
          <w:color w:val="2E74B5"/>
          <w:sz w:val="24"/>
        </w:rPr>
        <w:t>4.3 — Smartphone addiction / Nghiện điện thoại thông minh</w:t>
      </w:r>
    </w:p>
    <w:p>
      <w:pPr>
        <w:spacing w:after="80"/>
        <w:ind w:firstLine="283"/>
        <w:jc w:val="both"/>
      </w:pPr>
      <w:r>
        <w:rPr>
          <w:rFonts w:ascii="Times New Roman" w:hAnsi="Times New Roman"/>
          <w:sz w:val="22"/>
        </w:rPr>
        <w:t>Smartphone addiction (also called "problematic smartphone use") is excessive use that disrupts sleep, study, or social relationships. Measured with 5 items from SAS-SV (Smartphone Addiction Scale-Short Version). This is the newest risk factor in adolescent mental health research, with mechanisms still being mapped — possibilities include sleep disruption, social comparison, and replacement of in-person interaction.</w:t>
      </w:r>
    </w:p>
    <w:p>
      <w:pPr>
        <w:spacing w:after="160"/>
        <w:ind w:firstLine="283" w:left="170"/>
        <w:jc w:val="both"/>
      </w:pPr>
      <w:r>
        <w:rPr>
          <w:rFonts w:ascii="Times New Roman" w:hAnsi="Times New Roman"/>
          <w:i/>
          <w:color w:val="333333"/>
          <w:sz w:val="22"/>
        </w:rPr>
        <w:t>Nghiện điện thoại thông minh (còn gọi "sử dụng điện thoại có vấn đề") là sử dụng quá mức gây gián đoạn giấc ngủ, học tập, hay quan hệ xã hội. Đo bằng 5 mục SAS-SV (Smartphone Addiction Scale-Short Version). Đây là yếu tố nguy cơ mới nhất trong nghiên cứu sức khỏe tâm thần vị thành niên, cơ chế đang được làm rõ — gồm gián đoạn giấc ngủ, so sánh xã hội, thay thế tương tác trực tiếp.</w:t>
      </w:r>
    </w:p>
    <w:p>
      <w:r>
        <w:br w:type="page"/>
      </w:r>
    </w:p>
    <w:p>
      <w:pPr>
        <w:spacing w:before="360" w:after="200"/>
        <w:jc w:val="center"/>
      </w:pPr>
      <w:r>
        <w:rPr>
          <w:rFonts w:ascii="Times New Roman" w:hAnsi="Times New Roman"/>
          <w:b/>
          <w:color w:val="C00000"/>
          <w:sz w:val="30"/>
        </w:rPr>
        <w:t>PAGE 5 — Four protective factors in our model</w:t>
      </w:r>
    </w:p>
    <w:p>
      <w:pPr>
        <w:spacing w:after="160"/>
        <w:jc w:val="center"/>
      </w:pPr>
      <w:r>
        <w:rPr>
          <w:rFonts w:ascii="Times New Roman" w:hAnsi="Times New Roman"/>
          <w:b/>
          <w:i/>
          <w:color w:val="C00000"/>
          <w:sz w:val="30"/>
        </w:rPr>
        <w:t>TRANG 5 — Bốn yếu tố bảo vệ trong mô hình</w:t>
      </w:r>
    </w:p>
    <w:p>
      <w:pPr>
        <w:spacing w:before="200" w:after="80"/>
      </w:pPr>
      <w:r>
        <w:rPr>
          <w:rFonts w:ascii="Times New Roman" w:hAnsi="Times New Roman"/>
          <w:b/>
          <w:color w:val="2E74B5"/>
          <w:sz w:val="24"/>
        </w:rPr>
        <w:t>5.1 — School membership / Gắn bó với trường học</w:t>
      </w:r>
    </w:p>
    <w:p>
      <w:pPr>
        <w:spacing w:after="80"/>
        <w:ind w:firstLine="283"/>
        <w:jc w:val="both"/>
      </w:pPr>
      <w:r>
        <w:rPr>
          <w:rFonts w:ascii="Times New Roman" w:hAnsi="Times New Roman"/>
          <w:sz w:val="22"/>
        </w:rPr>
        <w:t>Psychological Sense of School Membership (PSSM, Goodenow 1993) is the feeling of being accepted, respected, and included by school peers and teachers. NCS used the 7-item PSSM scale. High school membership buffers against anxiety by providing a sense of safety and belonging.</w:t>
      </w:r>
    </w:p>
    <w:p>
      <w:pPr>
        <w:spacing w:after="160"/>
        <w:ind w:firstLine="283" w:left="170"/>
        <w:jc w:val="both"/>
      </w:pPr>
      <w:r>
        <w:rPr>
          <w:rFonts w:ascii="Times New Roman" w:hAnsi="Times New Roman"/>
          <w:i/>
          <w:color w:val="333333"/>
          <w:sz w:val="22"/>
        </w:rPr>
        <w:t>Cảm nhận Tâm lý về Gắn bó với Trường (PSSM, Goodenow 1993) là cảm giác được chấp nhận, tôn trọng, và bao gồm bởi bạn bè và giáo viên trong trường. NCS dùng thang PSSM 7 mục. Gắn bó trường cao có vai trò đệm chống lo âu bằng cách cung cấp cảm giác an toàn và thuộc về.</w:t>
      </w:r>
    </w:p>
    <w:p>
      <w:pPr>
        <w:spacing w:before="200" w:after="80"/>
      </w:pPr>
      <w:r>
        <w:rPr>
          <w:rFonts w:ascii="Times New Roman" w:hAnsi="Times New Roman"/>
          <w:b/>
          <w:color w:val="2E74B5"/>
          <w:sz w:val="24"/>
        </w:rPr>
        <w:t>5.2 — Parental support / Hỗ trợ từ cha mẹ</w:t>
      </w:r>
    </w:p>
    <w:p>
      <w:pPr>
        <w:spacing w:after="80"/>
        <w:ind w:firstLine="283"/>
        <w:jc w:val="both"/>
      </w:pPr>
      <w:r>
        <w:rPr>
          <w:rFonts w:ascii="Times New Roman" w:hAnsi="Times New Roman"/>
          <w:sz w:val="22"/>
        </w:rPr>
        <w:t>Parental support is the emotional and practical help adolescents receive from parents — listening, encouragement, financial support. Measured with 4 items from the MSPSS (Multidimensional Scale of Perceived Social Support). In Confucian families, parental support often takes the form of high expectations + sacrifice rather than emotional warmth.</w:t>
      </w:r>
    </w:p>
    <w:p>
      <w:pPr>
        <w:spacing w:after="160"/>
        <w:ind w:firstLine="283" w:left="170"/>
        <w:jc w:val="both"/>
      </w:pPr>
      <w:r>
        <w:rPr>
          <w:rFonts w:ascii="Times New Roman" w:hAnsi="Times New Roman"/>
          <w:i/>
          <w:color w:val="333333"/>
          <w:sz w:val="22"/>
        </w:rPr>
        <w:t>Hỗ trợ từ cha mẹ là sự giúp đỡ về cảm xúc và thực tế mà vị thành niên nhận được — lắng nghe, động viên, hỗ trợ tài chính. Đo bằng 4 mục MSPSS (Multidimensional Scale of Perceived Social Support). Trong gia đình Nho giáo, hỗ trợ cha mẹ thường biểu hiện qua kỳ vọng cao + hy sinh thay vì sự ấm áp cảm xúc trực tiếp.</w:t>
      </w:r>
    </w:p>
    <w:p>
      <w:pPr>
        <w:spacing w:before="200" w:after="80"/>
      </w:pPr>
      <w:r>
        <w:rPr>
          <w:rFonts w:ascii="Times New Roman" w:hAnsi="Times New Roman"/>
          <w:b/>
          <w:color w:val="2E74B5"/>
          <w:sz w:val="24"/>
        </w:rPr>
        <w:t>5.3 — Peer support / Hỗ trợ từ bạn bè</w:t>
      </w:r>
    </w:p>
    <w:p>
      <w:pPr>
        <w:spacing w:after="80"/>
        <w:ind w:firstLine="283"/>
        <w:jc w:val="both"/>
      </w:pPr>
      <w:r>
        <w:rPr>
          <w:rFonts w:ascii="Times New Roman" w:hAnsi="Times New Roman"/>
          <w:sz w:val="22"/>
        </w:rPr>
        <w:t>Peer support is help from friends — sharing problems, having fun together, mutual encouragement. Measured with 4 items from MSPSS. Counter-intuitively, in our Vietnamese sample, peer support showed almost no protective effect against anxiety. We propose two explanations: cultural restraint in sharing (tam giao tradition; Small &amp; Blanc 2021) and co-rumination (Rose 2002).</w:t>
      </w:r>
    </w:p>
    <w:p>
      <w:pPr>
        <w:spacing w:after="160"/>
        <w:ind w:firstLine="283" w:left="170"/>
        <w:jc w:val="both"/>
      </w:pPr>
      <w:r>
        <w:rPr>
          <w:rFonts w:ascii="Times New Roman" w:hAnsi="Times New Roman"/>
          <w:i/>
          <w:color w:val="333333"/>
          <w:sz w:val="22"/>
        </w:rPr>
        <w:t>Hỗ trợ từ bạn bè là sự giúp đỡ từ bạn — chia sẻ vấn đề, vui chơi cùng nhau, động viên lẫn nhau. Đo bằng 4 mục MSPSS. Đáng ngạc nhiên là trong mẫu Việt Nam của chúng tôi, hỗ trợ bạn bè gần như không có hiệu ứng bảo vệ chống lo âu. Chúng tôi đề xuất hai cách giải thích: sự chừng mực văn hóa trong chia sẻ (truyền thống tam giáo; Small &amp; Blanc 2021) và co-rumination (Rose 2002).</w:t>
      </w:r>
    </w:p>
    <w:p>
      <w:pPr>
        <w:spacing w:before="200" w:after="80"/>
      </w:pPr>
      <w:r>
        <w:rPr>
          <w:rFonts w:ascii="Times New Roman" w:hAnsi="Times New Roman"/>
          <w:b/>
          <w:color w:val="2E74B5"/>
          <w:sz w:val="24"/>
        </w:rPr>
        <w:t>5.4 — Self-esteem / Tự trọng</w:t>
      </w:r>
    </w:p>
    <w:p>
      <w:pPr>
        <w:spacing w:after="80"/>
        <w:ind w:firstLine="283"/>
        <w:jc w:val="both"/>
      </w:pPr>
      <w:r>
        <w:rPr>
          <w:rFonts w:ascii="Times New Roman" w:hAnsi="Times New Roman"/>
          <w:sz w:val="22"/>
        </w:rPr>
        <w:t>Self-esteem is the overall evaluation of one's own worth. Measured with 5 items from the Rosenberg Self-Esteem Scale (RSES). In our data, self-esteem was the strongest single protective factor (β = −0.455 against GAD). This makes self-esteem a high-yield target for prevention programs.</w:t>
      </w:r>
    </w:p>
    <w:p>
      <w:pPr>
        <w:spacing w:after="160"/>
        <w:ind w:firstLine="283" w:left="170"/>
        <w:jc w:val="both"/>
      </w:pPr>
      <w:r>
        <w:rPr>
          <w:rFonts w:ascii="Times New Roman" w:hAnsi="Times New Roman"/>
          <w:i/>
          <w:color w:val="333333"/>
          <w:sz w:val="22"/>
        </w:rPr>
        <w:t>Tự trọng là sự đánh giá tổng thể về giá trị bản thân. Đo bằng 5 mục thang Rosenberg Self-Esteem (RSES). Trong dữ liệu, tự trọng là yếu tố bảo vệ đơn mạnh nhất (β = −0,455 chống GAD). Điều này khiến tự trọng trở thành mục tiêu can thiệp có hiệu suất cao.</w:t>
      </w:r>
    </w:p>
    <w:p>
      <w:r>
        <w:br w:type="page"/>
      </w:r>
    </w:p>
    <w:p>
      <w:pPr>
        <w:spacing w:before="360" w:after="200"/>
        <w:jc w:val="center"/>
      </w:pPr>
      <w:r>
        <w:rPr>
          <w:rFonts w:ascii="Times New Roman" w:hAnsi="Times New Roman"/>
          <w:b/>
          <w:color w:val="C00000"/>
          <w:sz w:val="30"/>
        </w:rPr>
        <w:t>PAGE 6 — Vietnamese cultural framework</w:t>
      </w:r>
    </w:p>
    <w:p>
      <w:pPr>
        <w:spacing w:after="160"/>
        <w:jc w:val="center"/>
      </w:pPr>
      <w:r>
        <w:rPr>
          <w:rFonts w:ascii="Times New Roman" w:hAnsi="Times New Roman"/>
          <w:b/>
          <w:i/>
          <w:color w:val="C00000"/>
          <w:sz w:val="30"/>
        </w:rPr>
        <w:t>TRANG 6 — Khung lý thuyết văn hóa Việt Nam</w:t>
      </w:r>
    </w:p>
    <w:p>
      <w:pPr>
        <w:spacing w:before="200" w:after="80"/>
      </w:pPr>
      <w:r>
        <w:rPr>
          <w:rFonts w:ascii="Times New Roman" w:hAnsi="Times New Roman"/>
          <w:b/>
          <w:color w:val="2E74B5"/>
          <w:sz w:val="24"/>
        </w:rPr>
        <w:t>6.1 — Tam giao / Three Teachings / Tam giáo</w:t>
      </w:r>
    </w:p>
    <w:p>
      <w:pPr>
        <w:spacing w:after="80"/>
        <w:ind w:firstLine="283"/>
        <w:jc w:val="both"/>
      </w:pPr>
      <w:r>
        <w:rPr>
          <w:rFonts w:ascii="Times New Roman" w:hAnsi="Times New Roman"/>
          <w:sz w:val="22"/>
        </w:rPr>
        <w:t>Vietnamese culture is shaped by the coexistence of three philosophical-religious traditions: Confucianism (social hierarchy, education), Buddhism (compassion, endurance), and Taoism (harmony with nature). Small and Blanc (2021) called this "cultural additivity" — three traditions reinforce each other rather than compete. One shared value is "nhẫn" (emotional restraint, patience), which may reduce open sharing of distress.</w:t>
      </w:r>
    </w:p>
    <w:p>
      <w:pPr>
        <w:spacing w:after="160"/>
        <w:ind w:firstLine="283" w:left="170"/>
        <w:jc w:val="both"/>
      </w:pPr>
      <w:r>
        <w:rPr>
          <w:rFonts w:ascii="Times New Roman" w:hAnsi="Times New Roman"/>
          <w:i/>
          <w:color w:val="333333"/>
          <w:sz w:val="22"/>
        </w:rPr>
        <w:t>Văn hóa Việt Nam được định hình bởi sự cộng tồn của ba truyền thống triết học-tôn giáo: Nho giáo (thứ bậc xã hội, giáo dục), Phật giáo (lòng từ bi, nhẫn nhịn), và Đạo giáo (hòa hợp với thiên nhiên). Small và Blanc (2021) gọi đây là "cộng dồn văn hóa" — ba truyền thống củng cố lẫn nhau thay vì cạnh tranh. Một giá trị chung là "nhẫn" — sự chừng mực cảm xúc, kiên nhẫn, có thể làm giảm chia sẻ khó khăn một cách công khai.</w:t>
      </w:r>
    </w:p>
    <w:p>
      <w:pPr>
        <w:spacing w:before="200" w:after="80"/>
      </w:pPr>
      <w:r>
        <w:rPr>
          <w:rFonts w:ascii="Times New Roman" w:hAnsi="Times New Roman"/>
          <w:b/>
          <w:color w:val="2E74B5"/>
          <w:sz w:val="24"/>
        </w:rPr>
        <w:t>6.2 — Confucian academic culture / Văn hóa học thuật Nho giáo</w:t>
      </w:r>
    </w:p>
    <w:p>
      <w:pPr>
        <w:spacing w:after="80"/>
        <w:ind w:firstLine="283"/>
        <w:jc w:val="both"/>
      </w:pPr>
      <w:r>
        <w:rPr>
          <w:rFonts w:ascii="Times New Roman" w:hAnsi="Times New Roman"/>
          <w:sz w:val="22"/>
        </w:rPr>
        <w:t>Stankov (2010) described the Confucian academic culture as "unforgiving" — students from Confucian East Asian countries (China, Korea, Japan, Vietnam) achieve high academic performance but also experience higher test anxiety and self-doubt compared to Western peers. The pressure is dual: prove one's effort + maintain family honor.</w:t>
      </w:r>
    </w:p>
    <w:p>
      <w:pPr>
        <w:spacing w:after="160"/>
        <w:ind w:firstLine="283" w:left="170"/>
        <w:jc w:val="both"/>
      </w:pPr>
      <w:r>
        <w:rPr>
          <w:rFonts w:ascii="Times New Roman" w:hAnsi="Times New Roman"/>
          <w:i/>
          <w:color w:val="333333"/>
          <w:sz w:val="22"/>
        </w:rPr>
        <w:t>Stankov (2010) mô tả văn hóa học thuật Nho giáo là "khắc nghiệt" — học sinh từ các nước Đông Á Nho giáo (Trung Quốc, Hàn Quốc, Nhật Bản, Việt Nam) đạt thành tích học tập cao nhưng cũng trải nghiệm lo âu kiểm tra và tự nghi ngờ cao hơn so với bạn phương Tây. Áp lực kép: chứng minh sự cố gắng + giữ gìn thanh danh gia đình.</w:t>
      </w:r>
    </w:p>
    <w:p>
      <w:pPr>
        <w:spacing w:before="200" w:after="80"/>
      </w:pPr>
      <w:r>
        <w:rPr>
          <w:rFonts w:ascii="Times New Roman" w:hAnsi="Times New Roman"/>
          <w:b/>
          <w:color w:val="2E74B5"/>
          <w:sz w:val="24"/>
        </w:rPr>
        <w:t>6.3 — Co-rumination in girls / Co-rumination ở nữ sinh</w:t>
      </w:r>
    </w:p>
    <w:p>
      <w:pPr>
        <w:spacing w:after="80"/>
        <w:ind w:firstLine="283"/>
        <w:jc w:val="both"/>
      </w:pPr>
      <w:r>
        <w:rPr>
          <w:rFonts w:ascii="Times New Roman" w:hAnsi="Times New Roman"/>
          <w:sz w:val="22"/>
        </w:rPr>
        <w:t>Rose (2002) discovered that girls in early adolescence (grades 3, 5, 7, 9; N = 608) engage in "co-rumination" — repeatedly discussing problems with friends, speculating about negative outcomes, and dwelling on bad feelings. This deepens friendship but also amplifies anxiety. Girls show this pattern more than boys, especially around ages 11–14.</w:t>
      </w:r>
    </w:p>
    <w:p>
      <w:pPr>
        <w:spacing w:after="160"/>
        <w:ind w:firstLine="283" w:left="170"/>
        <w:jc w:val="both"/>
      </w:pPr>
      <w:r>
        <w:rPr>
          <w:rFonts w:ascii="Times New Roman" w:hAnsi="Times New Roman"/>
          <w:i/>
          <w:color w:val="333333"/>
          <w:sz w:val="22"/>
        </w:rPr>
        <w:t>Rose (2002) phát hiện nữ sinh đầu vị thành niên (lớp 3, 5, 7, 9; N = 608) tham gia "co-rumination" — thảo luận lặp đi lặp lại các vấn đề với bạn, suy đoán về kết quả tiêu cực, và đắm chìm trong cảm xúc xấu. Điều này làm sâu sắc tình bạn nhưng cũng khuếch đại lo âu. Nữ thể hiện kiểu này nhiều hơn nam, đặc biệt ở tuổi 11–14.</w:t>
      </w:r>
    </w:p>
    <w:p>
      <w:r>
        <w:br w:type="page"/>
      </w:r>
    </w:p>
    <w:p>
      <w:pPr>
        <w:spacing w:before="360" w:after="200"/>
        <w:jc w:val="center"/>
      </w:pPr>
      <w:r>
        <w:rPr>
          <w:rFonts w:ascii="Times New Roman" w:hAnsi="Times New Roman"/>
          <w:b/>
          <w:color w:val="C00000"/>
          <w:sz w:val="30"/>
        </w:rPr>
        <w:t>PAGE 7 — Structural Equation Modeling (SEM) — plain explanation</w:t>
      </w:r>
    </w:p>
    <w:p>
      <w:pPr>
        <w:spacing w:after="160"/>
        <w:jc w:val="center"/>
      </w:pPr>
      <w:r>
        <w:rPr>
          <w:rFonts w:ascii="Times New Roman" w:hAnsi="Times New Roman"/>
          <w:b/>
          <w:i/>
          <w:color w:val="C00000"/>
          <w:sz w:val="30"/>
        </w:rPr>
        <w:t>TRANG 7 — Mô hình Phương trình Cấu trúc (SEM) — giải thích đơn giản</w:t>
      </w:r>
    </w:p>
    <w:p>
      <w:pPr>
        <w:spacing w:before="200" w:after="80"/>
      </w:pPr>
      <w:r>
        <w:rPr>
          <w:rFonts w:ascii="Times New Roman" w:hAnsi="Times New Roman"/>
          <w:b/>
          <w:color w:val="2E74B5"/>
          <w:sz w:val="24"/>
        </w:rPr>
        <w:t>7.1 — What SEM tests / SEM kiểm tra gì</w:t>
      </w:r>
    </w:p>
    <w:p>
      <w:pPr>
        <w:spacing w:after="80"/>
        <w:ind w:firstLine="283"/>
        <w:jc w:val="both"/>
      </w:pPr>
      <w:r>
        <w:rPr>
          <w:rFonts w:ascii="Times New Roman" w:hAnsi="Times New Roman"/>
          <w:sz w:val="22"/>
        </w:rPr>
        <w:t>Regular regression tests one relationship at a time: "Does bullying predict anxiety?" SEM tests many relationships at once: "Do bullying + academic stress + smartphone addiction jointly predict GAD + SAD + SocAD, while school membership + parental support + peer support + self-esteem buffer against all three subtypes — all in one model?"</w:t>
      </w:r>
    </w:p>
    <w:p>
      <w:pPr>
        <w:spacing w:after="160"/>
        <w:ind w:firstLine="283" w:left="170"/>
        <w:jc w:val="both"/>
      </w:pPr>
      <w:r>
        <w:rPr>
          <w:rFonts w:ascii="Times New Roman" w:hAnsi="Times New Roman"/>
          <w:i/>
          <w:color w:val="333333"/>
          <w:sz w:val="22"/>
        </w:rPr>
        <w:t>Hồi quy thông thường kiểm tra một mối quan hệ tại một thời điểm: "Bắt nạt có dự báo lo âu không?" SEM kiểm tra nhiều mối quan hệ cùng lúc: "Bắt nạt + áp lực học tập + nghiện điện thoại có cùng dự báo GAD + SAD + SocAD, trong khi gắn bó trường + hỗ trợ cha mẹ + hỗ trợ bạn bè + tự trọng có vai trò đệm chống cả ba phân loại — tất cả trong cùng một mô hình không?"</w:t>
      </w:r>
    </w:p>
    <w:p>
      <w:pPr>
        <w:spacing w:before="200" w:after="80"/>
      </w:pPr>
      <w:r>
        <w:rPr>
          <w:rFonts w:ascii="Times New Roman" w:hAnsi="Times New Roman"/>
          <w:b/>
          <w:color w:val="2E74B5"/>
          <w:sz w:val="24"/>
        </w:rPr>
        <w:t>7.2 — Latent variables / Biến tiềm ẩn</w:t>
      </w:r>
    </w:p>
    <w:p>
      <w:pPr>
        <w:spacing w:after="80"/>
        <w:ind w:firstLine="283"/>
        <w:jc w:val="both"/>
      </w:pPr>
      <w:r>
        <w:rPr>
          <w:rFonts w:ascii="Times New Roman" w:hAnsi="Times New Roman"/>
          <w:sz w:val="22"/>
        </w:rPr>
        <w:t>A KEY idea in SEM is the "latent variable" — a concept we cannot measure directly (like "anxiety"), but only through observable items (questions on a scale). SEM lets us model the underlying concept separately from measurement error. For example, "GAD" is a latent variable measured by 7 RCADS items.</w:t>
      </w:r>
    </w:p>
    <w:p>
      <w:pPr>
        <w:spacing w:after="160"/>
        <w:ind w:firstLine="283" w:left="170"/>
        <w:jc w:val="both"/>
      </w:pPr>
      <w:r>
        <w:rPr>
          <w:rFonts w:ascii="Times New Roman" w:hAnsi="Times New Roman"/>
          <w:i/>
          <w:color w:val="333333"/>
          <w:sz w:val="22"/>
        </w:rPr>
        <w:t>Một ý tưởng CHỦ CHỐT trong SEM là "biến tiềm ẩn" — khái niệm không đo trực tiếp được (như "lo âu"), chỉ thông qua các mục quan sát được (câu hỏi trên thang đo). SEM cho phép mô hình hóa khái niệm gốc tách bạch khỏi sai số đo lường. Ví dụ "GAD" là biến tiềm ẩn đo bằng 7 mục RCADS.</w:t>
      </w:r>
    </w:p>
    <w:p>
      <w:pPr>
        <w:spacing w:before="200" w:after="80"/>
      </w:pPr>
      <w:r>
        <w:rPr>
          <w:rFonts w:ascii="Times New Roman" w:hAnsi="Times New Roman"/>
          <w:b/>
          <w:color w:val="2E74B5"/>
          <w:sz w:val="24"/>
        </w:rPr>
        <w:t>7.3 — Goodness-of-fit / Độ phù hợp mô hình</w:t>
      </w:r>
    </w:p>
    <w:p>
      <w:pPr>
        <w:spacing w:after="80"/>
        <w:ind w:firstLine="283"/>
        <w:jc w:val="both"/>
      </w:pPr>
      <w:r>
        <w:rPr>
          <w:rFonts w:ascii="Times New Roman" w:hAnsi="Times New Roman"/>
          <w:sz w:val="22"/>
        </w:rPr>
        <w:t>After building an SEM, we test whether it fits the data using standard indices: CFI ≥ 0.90 (Comparative Fit Index), RMSEA ≤ 0.08 (Root Mean Square Error of Approximation), SRMR ≤ 0.08 (Standardized Root Mean Square Residual). Higher CFI is better; lower RMSEA/SRMR is better. Thresholds come from Hu and Bentler (1999).</w:t>
      </w:r>
    </w:p>
    <w:p>
      <w:pPr>
        <w:spacing w:after="160"/>
        <w:ind w:firstLine="283" w:left="170"/>
        <w:jc w:val="both"/>
      </w:pPr>
      <w:r>
        <w:rPr>
          <w:rFonts w:ascii="Times New Roman" w:hAnsi="Times New Roman"/>
          <w:i/>
          <w:color w:val="333333"/>
          <w:sz w:val="22"/>
        </w:rPr>
        <w:t>Sau khi xây SEM, chúng ta kiểm tra mô hình có phù hợp dữ liệu hay không thông qua các chỉ số chuẩn: CFI ≥ 0,90 (Comparative Fit Index), RMSEA ≤ 0,08 (Root Mean Square Error of Approximation), SRMR ≤ 0,08 (Standardized Root Mean Square Residual). CFI cao là tốt; RMSEA/SRMR thấp là tốt. Ngưỡng từ Hu và Bentler (1999).</w:t>
      </w:r>
    </w:p>
    <w:p>
      <w:pPr>
        <w:spacing w:before="160" w:after="160"/>
        <w:ind w:left="283" w:right="283"/>
      </w:pPr>
      <w:r>
        <w:rPr>
          <w:rFonts w:ascii="Times New Roman" w:hAnsi="Times New Roman"/>
          <w:b/>
          <w:color w:val="006E2E"/>
          <w:sz w:val="22"/>
        </w:rPr>
        <w:t>▣ KEY CONCEPT — SEM is the gold-standard method for testing complex multi-variable theories — it powers most modern Q1/Q2 papers in developmental psychology and psychiatry.</w:t>
      </w:r>
    </w:p>
    <w:p>
      <w:pPr>
        <w:spacing w:after="200"/>
        <w:ind w:left="283" w:right="283"/>
      </w:pPr>
      <w:r>
        <w:rPr>
          <w:rFonts w:ascii="Times New Roman" w:hAnsi="Times New Roman"/>
          <w:b/>
          <w:i/>
          <w:color w:val="006E2E"/>
          <w:sz w:val="22"/>
        </w:rPr>
        <w:t>▣ KHÁI NIỆM CỐT LÕI — SEM là phương pháp chuẩn vàng để kiểm chứng các lý thuyết đa biến phức tạp — đa số các bài Q1/Q2 hiện đại trong tâm lý học phát triển và tâm thần học đều dùng SEM.</w:t>
      </w:r>
    </w:p>
    <w:p>
      <w:pPr>
        <w:spacing w:before="200" w:after="80"/>
      </w:pPr>
      <w:r>
        <w:rPr>
          <w:rFonts w:ascii="Times New Roman" w:hAnsi="Times New Roman"/>
          <w:b/>
          <w:color w:val="2E74B5"/>
          <w:sz w:val="24"/>
        </w:rPr>
        <w:t>7.4 — Helpful analogy / Phép ẩn dụ giúp dễ hình dung</w:t>
      </w:r>
    </w:p>
    <w:p>
      <w:pPr>
        <w:spacing w:after="80"/>
        <w:ind w:firstLine="283"/>
        <w:jc w:val="both"/>
      </w:pPr>
      <w:r>
        <w:rPr>
          <w:rFonts w:ascii="Times New Roman" w:hAnsi="Times New Roman"/>
          <w:sz w:val="22"/>
        </w:rPr>
        <w:t>Think of SEM as a map of a city. Each road on the map is a pathway (β coefficient) between two locations (variables). Ordinary regression draws one road at a time. SEM draws the whole road network at once — showing not just whether each road exists, but whether the whole transport system makes sense as a unit. Goodness-of-fit indices are like asking: does our map match the real city? CFI ≥ 0.90 = a good enough match.</w:t>
      </w:r>
    </w:p>
    <w:p>
      <w:pPr>
        <w:spacing w:after="160"/>
        <w:ind w:firstLine="283" w:left="170"/>
        <w:jc w:val="both"/>
      </w:pPr>
      <w:r>
        <w:rPr>
          <w:rFonts w:ascii="Times New Roman" w:hAnsi="Times New Roman"/>
          <w:i/>
          <w:color w:val="333333"/>
          <w:sz w:val="22"/>
        </w:rPr>
        <w:t>Hãy tưởng tượng SEM như tấm bản đồ một thành phố. Mỗi con đường trên bản đồ là một đường dẫn (hệ số β) giữa hai địa điểm (biến). Hồi quy thông thường vẽ một con đường tại một thời điểm. SEM vẽ toàn bộ mạng lưới đường cùng lúc — cho biết không chỉ từng đường có tồn tại không, mà cả hệ thống giao thông có hợp lý không. Các chỉ số độ phù hợp giống như hỏi: bản đồ của chúng ta có khớp với thành phố thực không? CFI ≥ 0,90 = khớp đủ tốt.</w:t>
      </w:r>
    </w:p>
    <w:p>
      <w:pPr>
        <w:spacing w:before="200" w:after="80"/>
      </w:pPr>
      <w:r>
        <w:rPr>
          <w:rFonts w:ascii="Times New Roman" w:hAnsi="Times New Roman"/>
          <w:b/>
          <w:color w:val="2E74B5"/>
          <w:sz w:val="24"/>
        </w:rPr>
        <w:t>7.5 — Self-check / Câu hỏi tự kiểm tra</w:t>
      </w:r>
    </w:p>
    <w:p>
      <w:pPr>
        <w:spacing w:after="80"/>
        <w:ind w:firstLine="283"/>
        <w:jc w:val="both"/>
      </w:pPr>
      <w:r>
        <w:rPr>
          <w:rFonts w:ascii="Times New Roman" w:hAnsi="Times New Roman"/>
          <w:sz w:val="22"/>
        </w:rPr>
        <w:t>Q: What makes SEM more powerful than running 10 separate regressions?</w:t>
      </w:r>
    </w:p>
    <w:p>
      <w:pPr>
        <w:spacing w:after="160"/>
        <w:ind w:firstLine="283" w:left="170"/>
        <w:jc w:val="both"/>
      </w:pPr>
      <w:r>
        <w:rPr>
          <w:rFonts w:ascii="Times New Roman" w:hAnsi="Times New Roman"/>
          <w:i/>
          <w:color w:val="333333"/>
          <w:sz w:val="22"/>
        </w:rPr>
        <w:t>Hỏi: Điều gì khiến SEM mạnh hơn việc chạy 10 hồi quy riêng lẻ?</w:t>
      </w:r>
    </w:p>
    <w:p>
      <w:pPr>
        <w:spacing w:after="80"/>
        <w:ind w:firstLine="283"/>
        <w:jc w:val="both"/>
      </w:pPr>
      <w:r>
        <w:rPr>
          <w:rFonts w:ascii="Times New Roman" w:hAnsi="Times New Roman"/>
          <w:sz w:val="22"/>
        </w:rPr>
        <w:t>A: SEM tests all relationships simultaneously so error compounds less, models measurement error in latent variables, and provides a single fit statistic showing whether the whole theory holds.</w:t>
      </w:r>
    </w:p>
    <w:p>
      <w:pPr>
        <w:spacing w:after="160"/>
        <w:ind w:firstLine="283" w:left="170"/>
        <w:jc w:val="both"/>
      </w:pPr>
      <w:r>
        <w:rPr>
          <w:rFonts w:ascii="Times New Roman" w:hAnsi="Times New Roman"/>
          <w:i/>
          <w:color w:val="333333"/>
          <w:sz w:val="22"/>
        </w:rPr>
        <w:t>Đáp: SEM kiểm tra tất cả mối quan hệ cùng lúc nên sai số ít tích lũy hơn, mô hình hóa được sai số đo lường trong biến tiềm ẩn, và cho một chỉ số phù hợp duy nhất cho biết toàn bộ lý thuyết có đúng không.</w:t>
      </w:r>
    </w:p>
    <w:p>
      <w:r>
        <w:br w:type="page"/>
      </w:r>
    </w:p>
    <w:p>
      <w:pPr>
        <w:spacing w:before="360" w:after="200"/>
        <w:jc w:val="center"/>
      </w:pPr>
      <w:r>
        <w:rPr>
          <w:rFonts w:ascii="Times New Roman" w:hAnsi="Times New Roman"/>
          <w:b/>
          <w:color w:val="C00000"/>
          <w:sz w:val="30"/>
        </w:rPr>
        <w:t>PAGE 8 — Q2 — Integrated higher-order SEM</w:t>
      </w:r>
    </w:p>
    <w:p>
      <w:pPr>
        <w:spacing w:after="160"/>
        <w:jc w:val="center"/>
      </w:pPr>
      <w:r>
        <w:rPr>
          <w:rFonts w:ascii="Times New Roman" w:hAnsi="Times New Roman"/>
          <w:b/>
          <w:i/>
          <w:color w:val="C00000"/>
          <w:sz w:val="30"/>
        </w:rPr>
        <w:t>TRANG 8 — Q2 — SEM tích hợp bậc cao</w:t>
      </w:r>
    </w:p>
    <w:p>
      <w:pPr>
        <w:spacing w:before="200" w:after="80"/>
      </w:pPr>
      <w:r>
        <w:rPr>
          <w:rFonts w:ascii="Times New Roman" w:hAnsi="Times New Roman"/>
          <w:b/>
          <w:color w:val="2E74B5"/>
          <w:sz w:val="24"/>
        </w:rPr>
        <w:t>8.1 — Hypotheses / Giả thuyết</w:t>
      </w:r>
    </w:p>
    <w:p>
      <w:pPr>
        <w:spacing w:after="80"/>
        <w:ind w:firstLine="283"/>
        <w:jc w:val="both"/>
      </w:pPr>
      <w:r>
        <w:rPr>
          <w:rFonts w:ascii="Times New Roman" w:hAnsi="Times New Roman"/>
          <w:sz w:val="22"/>
        </w:rPr>
        <w:t>Q2 tests three main hypotheses. H1: All three risk factors (bullying, academic stress, smartphone addiction) have positive pathways to GAD, SAD, and SocAD. H2: All four protective factors have negative pathways. H3: The integrated higher-order model (Risk → Total RLLA + Protective → Total RLLA simultaneously) explains substantial variance (R² &gt; 0.40).</w:t>
      </w:r>
    </w:p>
    <w:p>
      <w:pPr>
        <w:spacing w:after="160"/>
        <w:ind w:firstLine="283" w:left="170"/>
        <w:jc w:val="both"/>
      </w:pPr>
      <w:r>
        <w:rPr>
          <w:rFonts w:ascii="Times New Roman" w:hAnsi="Times New Roman"/>
          <w:i/>
          <w:color w:val="333333"/>
          <w:sz w:val="22"/>
        </w:rPr>
        <w:t>Q2 kiểm chứng ba giả thuyết chính. H1: Cả ba yếu tố nguy cơ (bắt nạt, áp lực học tập, nghiện điện thoại) có đường dẫn dương tới GAD, SAD, SocAD. H2: Cả bốn yếu tố bảo vệ có đường dẫn âm. H3: Mô hình bậc cao tích hợp (Nguy cơ → Tổng RLLA + Bảo vệ → Tổng RLLA đồng thời) giải thích lượng phương sai lớn (R² &gt; 0,40).</w:t>
      </w:r>
    </w:p>
    <w:p>
      <w:pPr>
        <w:spacing w:before="200" w:after="80"/>
      </w:pPr>
      <w:r>
        <w:rPr>
          <w:rFonts w:ascii="Times New Roman" w:hAnsi="Times New Roman"/>
          <w:b/>
          <w:color w:val="2E74B5"/>
          <w:sz w:val="24"/>
        </w:rPr>
        <w:t>8.2 — Key findings / Phát hiện chính</w:t>
      </w:r>
    </w:p>
    <w:p>
      <w:pPr>
        <w:spacing w:after="80"/>
        <w:ind w:firstLine="283"/>
        <w:jc w:val="both"/>
      </w:pPr>
      <w:r>
        <w:rPr>
          <w:rFonts w:ascii="Times New Roman" w:hAnsi="Times New Roman"/>
          <w:sz w:val="22"/>
        </w:rPr>
        <w:t>All three hypotheses were confirmed. Strongest risk pathway: bullying → SAD (β = 0.376). Strongest protective pathway: self-esteem → GAD (β = −0.455). Total integrated model: R² = 0.598 — meaning the model explains about 60% of variance in total anxiety symptoms. The peer support pathway was unexpectedly weak.</w:t>
      </w:r>
    </w:p>
    <w:p>
      <w:pPr>
        <w:spacing w:after="160"/>
        <w:ind w:firstLine="283" w:left="170"/>
        <w:jc w:val="both"/>
      </w:pPr>
      <w:r>
        <w:rPr>
          <w:rFonts w:ascii="Times New Roman" w:hAnsi="Times New Roman"/>
          <w:i/>
          <w:color w:val="333333"/>
          <w:sz w:val="22"/>
        </w:rPr>
        <w:t>Cả ba giả thuyết được khẳng định. Đường dẫn nguy cơ mạnh nhất: bắt nạt → SAD (β = 0,376). Đường dẫn bảo vệ mạnh nhất: tự trọng → GAD (β = −0,455). Mô hình tích hợp tổng: R² = 0,598 — nghĩa là mô hình giải thích khoảng 60% phương sai của tổng triệu chứng lo âu. Đường dẫn từ hỗ trợ bạn bè yếu một cách bất ngờ.</w:t>
      </w:r>
    </w:p>
    <w:p>
      <w:pPr>
        <w:spacing w:before="200" w:after="80"/>
      </w:pPr>
      <w:r>
        <w:rPr>
          <w:rFonts w:ascii="Times New Roman" w:hAnsi="Times New Roman"/>
          <w:b/>
          <w:color w:val="2E74B5"/>
          <w:sz w:val="24"/>
        </w:rPr>
        <w:t>8.3 — Why this matters / Vì sao quan trọng</w:t>
      </w:r>
    </w:p>
    <w:p>
      <w:pPr>
        <w:spacing w:after="80"/>
        <w:ind w:firstLine="283"/>
        <w:jc w:val="both"/>
      </w:pPr>
      <w:r>
        <w:rPr>
          <w:rFonts w:ascii="Times New Roman" w:hAnsi="Times New Roman"/>
          <w:sz w:val="22"/>
        </w:rPr>
        <w:t>Q2 is the first paper to integrate three risk + four protective factors → three DSM-5 anxiety subtypes in a single higher-order SEM for Vietnamese adolescents. It identifies self-esteem as a high-leverage intervention target. The paper is now planned for Frontiers in Psychiatry.</w:t>
      </w:r>
    </w:p>
    <w:p>
      <w:pPr>
        <w:spacing w:after="160"/>
        <w:ind w:firstLine="283" w:left="170"/>
        <w:jc w:val="both"/>
      </w:pPr>
      <w:r>
        <w:rPr>
          <w:rFonts w:ascii="Times New Roman" w:hAnsi="Times New Roman"/>
          <w:i/>
          <w:color w:val="333333"/>
          <w:sz w:val="22"/>
        </w:rPr>
        <w:t>Q2 là bài đầu tiên tích hợp ba yếu tố nguy cơ + bốn yếu tố bảo vệ → ba phân loại lo âu DSM-5 trong một SEM bậc cao cho vị thành niên Việt Nam. Bài xác định tự trọng là mục tiêu can thiệp đòn bẩy cao. Bài hiện được lên kế hoạch cho Frontiers in Psychiatry.</w:t>
      </w:r>
    </w:p>
    <w:p>
      <w:r>
        <w:br w:type="page"/>
      </w:r>
    </w:p>
    <w:p>
      <w:pPr>
        <w:spacing w:before="360" w:after="200"/>
        <w:jc w:val="center"/>
      </w:pPr>
      <w:r>
        <w:rPr>
          <w:rFonts w:ascii="Times New Roman" w:hAnsi="Times New Roman"/>
          <w:b/>
          <w:color w:val="C00000"/>
          <w:sz w:val="30"/>
        </w:rPr>
        <w:t>PAGE 9 — Q3 — Multi-group SEM by gender</w:t>
      </w:r>
    </w:p>
    <w:p>
      <w:pPr>
        <w:spacing w:after="160"/>
        <w:jc w:val="center"/>
      </w:pPr>
      <w:r>
        <w:rPr>
          <w:rFonts w:ascii="Times New Roman" w:hAnsi="Times New Roman"/>
          <w:b/>
          <w:i/>
          <w:color w:val="C00000"/>
          <w:sz w:val="30"/>
        </w:rPr>
        <w:t>TRANG 9 — Q3 — SEM đa nhóm theo giới</w:t>
      </w:r>
    </w:p>
    <w:p>
      <w:pPr>
        <w:spacing w:before="200" w:after="80"/>
      </w:pPr>
      <w:r>
        <w:rPr>
          <w:rFonts w:ascii="Times New Roman" w:hAnsi="Times New Roman"/>
          <w:b/>
          <w:color w:val="2E74B5"/>
          <w:sz w:val="24"/>
        </w:rPr>
        <w:t>9.1 — Why a separate paper / Vì sao tách bài riêng</w:t>
      </w:r>
    </w:p>
    <w:p>
      <w:pPr>
        <w:spacing w:after="80"/>
        <w:ind w:firstLine="283"/>
        <w:jc w:val="both"/>
      </w:pPr>
      <w:r>
        <w:rPr>
          <w:rFonts w:ascii="Times New Roman" w:hAnsi="Times New Roman"/>
          <w:sz w:val="22"/>
        </w:rPr>
        <w:t>In our preliminary results, girls scored higher on Social Anxiety Disorder than boys. This was surprising given that Jefferies and Ungar (2020) — a large 7-country study of 6,825 young adults aged 16–29 — found NO gender difference. Q3 will test whether the entire integrated SEM works the same way for boys and girls — that is, whether each pathway (β value) is identical across gender.</w:t>
      </w:r>
    </w:p>
    <w:p>
      <w:pPr>
        <w:spacing w:after="160"/>
        <w:ind w:firstLine="283" w:left="170"/>
        <w:jc w:val="both"/>
      </w:pPr>
      <w:r>
        <w:rPr>
          <w:rFonts w:ascii="Times New Roman" w:hAnsi="Times New Roman"/>
          <w:i/>
          <w:color w:val="333333"/>
          <w:sz w:val="22"/>
        </w:rPr>
        <w:t>Trong kết quả sơ bộ, nữ có điểm SAD cao hơn nam. Điều này gây ngạc nhiên vì Jefferies và Ungar (2020) — nghiên cứu lớn 7 quốc gia trên 6.825 thanh niên 16–29 tuổi — KHÔNG phát hiện khác biệt giới. Q3 sẽ kiểm chứng xem toàn bộ SEM tích hợp có hoạt động giống nhau cho nam và nữ — tức là từng đường dẫn (giá trị β) có giống nhau theo giới hay không.</w:t>
      </w:r>
    </w:p>
    <w:p>
      <w:pPr>
        <w:spacing w:before="200" w:after="80"/>
      </w:pPr>
      <w:r>
        <w:rPr>
          <w:rFonts w:ascii="Times New Roman" w:hAnsi="Times New Roman"/>
          <w:b/>
          <w:color w:val="2E74B5"/>
          <w:sz w:val="24"/>
        </w:rPr>
        <w:t>9.2 — Three levels of invariance / Ba mức bất biến</w:t>
      </w:r>
    </w:p>
    <w:p>
      <w:pPr>
        <w:spacing w:after="80"/>
        <w:ind w:firstLine="283"/>
        <w:jc w:val="both"/>
      </w:pPr>
      <w:r>
        <w:rPr>
          <w:rFonts w:ascii="Times New Roman" w:hAnsi="Times New Roman"/>
          <w:sz w:val="22"/>
        </w:rPr>
        <w:t>Q3 tests three sequential levels: (1) configural invariance — same factor structure in both groups; (2) metric invariance — same factor loadings; (3) scalar invariance — same intercepts. Failure at any level reveals where gender matters. The decision criterion is ΔCFI ≤ 0.01 (Cheung and Rensvold 2002).</w:t>
      </w:r>
    </w:p>
    <w:p>
      <w:pPr>
        <w:spacing w:after="160"/>
        <w:ind w:firstLine="283" w:left="170"/>
        <w:jc w:val="both"/>
      </w:pPr>
      <w:r>
        <w:rPr>
          <w:rFonts w:ascii="Times New Roman" w:hAnsi="Times New Roman"/>
          <w:i/>
          <w:color w:val="333333"/>
          <w:sz w:val="22"/>
        </w:rPr>
        <w:t>Q3 kiểm chứng ba mức tuần tự: (1) bất biến cấu hình (configural) — cùng cấu trúc nhân tố ở hai nhóm; (2) bất biến metric — cùng hệ số tải; (3) bất biến scalar — cùng hệ số chặn. Thất bại ở bất kỳ mức nào đều chỉ ra nơi giới có vai trò. Tiêu chí quyết định ΔCFI ≤ 0,01 (Cheung và Rensvold 2002).</w:t>
      </w:r>
    </w:p>
    <w:p>
      <w:pPr>
        <w:spacing w:before="200" w:after="80"/>
      </w:pPr>
      <w:r>
        <w:rPr>
          <w:rFonts w:ascii="Times New Roman" w:hAnsi="Times New Roman"/>
          <w:b/>
          <w:color w:val="2E74B5"/>
          <w:sz w:val="24"/>
        </w:rPr>
        <w:t>9.3 — Invariance analogy / Phép ẩn dụ về bất biến</w:t>
      </w:r>
    </w:p>
    <w:p>
      <w:pPr>
        <w:spacing w:after="80"/>
        <w:ind w:firstLine="283"/>
        <w:jc w:val="both"/>
      </w:pPr>
      <w:r>
        <w:rPr>
          <w:rFonts w:ascii="Times New Roman" w:hAnsi="Times New Roman"/>
          <w:sz w:val="22"/>
        </w:rPr>
        <w:t>Imagine two versions of the same city map — one for boys, one for girls. Configural invariance = both versions have the same kind of map (roads, intersections). Metric invariance = the roads have the same length in both versions. Scalar invariance = the starting point is at the same address. If any level fails, the maps differ in a specific way — and that is where gender matters.</w:t>
      </w:r>
    </w:p>
    <w:p>
      <w:pPr>
        <w:spacing w:after="160"/>
        <w:ind w:firstLine="283" w:left="170"/>
        <w:jc w:val="both"/>
      </w:pPr>
      <w:r>
        <w:rPr>
          <w:rFonts w:ascii="Times New Roman" w:hAnsi="Times New Roman"/>
          <w:i/>
          <w:color w:val="333333"/>
          <w:sz w:val="22"/>
        </w:rPr>
        <w:t>Hãy tưởng tượng hai phiên bản của cùng một bản đồ thành phố — một cho nam, một cho nữ. Bất biến cấu hình = cả hai phiên bản có cùng kiểu bản đồ (đường, giao lộ). Bất biến metric = các con đường có cùng độ dài ở cả hai phiên bản. Bất biến scalar = điểm xuất phát ở cùng địa chỉ. Nếu bất kỳ mức nào không đạt, hai bản đồ khác nhau theo cách cụ thể — và đó là nơi giới có vai trò.</w:t>
      </w:r>
    </w:p>
    <w:p>
      <w:pPr>
        <w:spacing w:before="200" w:after="80"/>
      </w:pPr>
      <w:r>
        <w:rPr>
          <w:rFonts w:ascii="Times New Roman" w:hAnsi="Times New Roman"/>
          <w:b/>
          <w:color w:val="2E74B5"/>
          <w:sz w:val="24"/>
        </w:rPr>
        <w:t>9.4 — Cultural-developmental framing / Khung phát triển-văn hóa</w:t>
      </w:r>
    </w:p>
    <w:p>
      <w:pPr>
        <w:spacing w:after="80"/>
        <w:ind w:firstLine="283"/>
        <w:jc w:val="both"/>
      </w:pPr>
      <w:r>
        <w:rPr>
          <w:rFonts w:ascii="Times New Roman" w:hAnsi="Times New Roman"/>
          <w:sz w:val="22"/>
        </w:rPr>
        <w:t>Q3 will provide six arguments for the gender difference observed in our sample but absent in Jefferies': (1) the 11–14 developmental window is a peak vulnerability period for girls (Hankin 2007; McLean and Anderson 2009); (2) co-rumination peaks in middle school girls (Rose 2002); (3) Confucian gender role pressure is strictest during school years (Stankov 2010; Small and Blanc 2021); (4) school-context measurement amplifies girls' SAD; (5) Jefferies' market-research panel has selection bias; (6) Jefferies' age effect dominates and masks gender.</w:t>
      </w:r>
    </w:p>
    <w:p>
      <w:pPr>
        <w:spacing w:after="160"/>
        <w:ind w:firstLine="283" w:left="170"/>
        <w:jc w:val="both"/>
      </w:pPr>
      <w:r>
        <w:rPr>
          <w:rFonts w:ascii="Times New Roman" w:hAnsi="Times New Roman"/>
          <w:i/>
          <w:color w:val="333333"/>
          <w:sz w:val="22"/>
        </w:rPr>
        <w:t>Q3 sẽ đưa ra sáu luận chứng cho khác biệt giới quan sát trong mẫu nhưng vắng trong Jefferies: (1) cửa sổ phát triển 11–14 là đỉnh nguy cơ ở nữ (Hankin 2007; McLean và Anderson 2009); (2) co-rumination đỉnh ở nữ sinh THCS (Rose 2002); (3) áp lực vai trò giới Nho giáo nghiêm ngặt nhất ở tuổi học sinh (Stankov 2010; Small và Blanc 2021); (4) bối cảnh đo lường học đường khuếch đại SAD nữ; (5) mẫu market research Jefferies có sai lệch lựa chọn; (6) hiệu ứng tuổi trong Jefferies áp đảo và che giấu giới.</w:t>
      </w:r>
    </w:p>
    <w:p>
      <w:r>
        <w:br w:type="page"/>
      </w:r>
    </w:p>
    <w:p>
      <w:pPr>
        <w:spacing w:before="360" w:after="200"/>
        <w:jc w:val="center"/>
      </w:pPr>
      <w:r>
        <w:rPr>
          <w:rFonts w:ascii="Times New Roman" w:hAnsi="Times New Roman"/>
          <w:b/>
          <w:color w:val="C00000"/>
          <w:sz w:val="30"/>
        </w:rPr>
        <w:t>PAGE 10 — Q4 — Latent Profile Analysis (LPA)</w:t>
      </w:r>
    </w:p>
    <w:p>
      <w:pPr>
        <w:spacing w:after="160"/>
        <w:jc w:val="center"/>
      </w:pPr>
      <w:r>
        <w:rPr>
          <w:rFonts w:ascii="Times New Roman" w:hAnsi="Times New Roman"/>
          <w:b/>
          <w:i/>
          <w:color w:val="C00000"/>
          <w:sz w:val="30"/>
        </w:rPr>
        <w:t>TRANG 10 — Q4 — Phân tích Hồ sơ Tiềm ẩn</w:t>
      </w:r>
    </w:p>
    <w:p>
      <w:pPr>
        <w:spacing w:before="200" w:after="80"/>
      </w:pPr>
      <w:r>
        <w:rPr>
          <w:rFonts w:ascii="Times New Roman" w:hAnsi="Times New Roman"/>
          <w:b/>
          <w:color w:val="2E74B5"/>
          <w:sz w:val="24"/>
        </w:rPr>
        <w:t>10.1 — Different question / Câu hỏi khác</w:t>
      </w:r>
    </w:p>
    <w:p>
      <w:pPr>
        <w:spacing w:after="80"/>
        <w:ind w:firstLine="283"/>
        <w:jc w:val="both"/>
      </w:pPr>
      <w:r>
        <w:rPr>
          <w:rFonts w:ascii="Times New Roman" w:hAnsi="Times New Roman"/>
          <w:sz w:val="22"/>
        </w:rPr>
        <w:t>Q2 and Q3 ask "what predicts anxiety?" Q4 asks a different question: "Are there distinct TYPES of students in our sample — each with a characteristic pattern of risk and protective factors?" For example, one type might be high-stress + low-support; another might be moderate-stress + high-self-esteem. These types are not visible from regression or SEM — they require a different statistical method.</w:t>
      </w:r>
    </w:p>
    <w:p>
      <w:pPr>
        <w:spacing w:after="160"/>
        <w:ind w:firstLine="283" w:left="170"/>
        <w:jc w:val="both"/>
      </w:pPr>
      <w:r>
        <w:rPr>
          <w:rFonts w:ascii="Times New Roman" w:hAnsi="Times New Roman"/>
          <w:i/>
          <w:color w:val="333333"/>
          <w:sz w:val="22"/>
        </w:rPr>
        <w:t>Q2 và Q3 hỏi "yếu tố nào dự báo lo âu?" Q4 hỏi câu khác: "Có các LOẠI học sinh riêng biệt trong mẫu — mỗi loại có mẫu hình đặc trưng về yếu tố nguy cơ và bảo vệ không?" Ví dụ, một loại có thể là cao áp lực + thấp hỗ trợ; loại khác có thể là vừa áp lực + cao tự trọng. Các loại này không lộ ra từ hồi quy hay SEM — chúng cần phương pháp thống kê khác.</w:t>
      </w:r>
    </w:p>
    <w:p>
      <w:pPr>
        <w:spacing w:before="200" w:after="80"/>
      </w:pPr>
      <w:r>
        <w:rPr>
          <w:rFonts w:ascii="Times New Roman" w:hAnsi="Times New Roman"/>
          <w:b/>
          <w:color w:val="2E74B5"/>
          <w:sz w:val="24"/>
        </w:rPr>
        <w:t>10.2 — How LPA works / LPA hoạt động ra sao</w:t>
      </w:r>
    </w:p>
    <w:p>
      <w:pPr>
        <w:spacing w:after="80"/>
        <w:ind w:firstLine="283"/>
        <w:jc w:val="both"/>
      </w:pPr>
      <w:r>
        <w:rPr>
          <w:rFonts w:ascii="Times New Roman" w:hAnsi="Times New Roman"/>
          <w:sz w:val="22"/>
        </w:rPr>
        <w:t>LPA (Latent Profile Analysis) is a person-centered method that groups individuals into unobserved profiles based on their pattern across many measured variables. It typically identifies 3–5 profiles that best fit the data. Each profile is interpreted by the relative levels of input variables. LPA is now widely used in adolescent mental health research.</w:t>
      </w:r>
    </w:p>
    <w:p>
      <w:pPr>
        <w:spacing w:after="160"/>
        <w:ind w:firstLine="283" w:left="170"/>
        <w:jc w:val="both"/>
      </w:pPr>
      <w:r>
        <w:rPr>
          <w:rFonts w:ascii="Times New Roman" w:hAnsi="Times New Roman"/>
          <w:i/>
          <w:color w:val="333333"/>
          <w:sz w:val="22"/>
        </w:rPr>
        <w:t>LPA (Latent Profile Analysis) là phương pháp lấy con người làm trung tâm, gộp các cá nhân thành các hồ sơ không quan sát được dựa trên mẫu hình của họ qua nhiều biến đo lường. Thường xác định 3–5 hồ sơ phù hợp nhất dữ liệu. Mỗi hồ sơ được diễn giải qua mức tương đối của các biến đầu vào. LPA hiện được sử dụng rộng rãi trong nghiên cứu sức khỏe tâm thần vị thành niên.</w:t>
      </w:r>
    </w:p>
    <w:p>
      <w:pPr>
        <w:spacing w:before="200" w:after="80"/>
      </w:pPr>
      <w:r>
        <w:rPr>
          <w:rFonts w:ascii="Times New Roman" w:hAnsi="Times New Roman"/>
          <w:b/>
          <w:color w:val="2E74B5"/>
          <w:sz w:val="24"/>
        </w:rPr>
        <w:t>10.3 — Why Q4 doesn't overlap Q2/Q3 / Vì sao Q4 không trùng Q2/Q3</w:t>
      </w:r>
    </w:p>
    <w:p>
      <w:pPr>
        <w:spacing w:after="80"/>
        <w:ind w:firstLine="283"/>
        <w:jc w:val="both"/>
      </w:pPr>
      <w:r>
        <w:rPr>
          <w:rFonts w:ascii="Times New Roman" w:hAnsi="Times New Roman"/>
          <w:sz w:val="22"/>
        </w:rPr>
        <w:t>Q2 + Q3 use SEM (variable-centered): each variable predicts each outcome. Q4 uses LPA (person-centered): each student belongs to a profile. The two approaches answer different scientific questions and use different statistical mechanics. There is no double-publication risk. Q4 fits journals such as Journal of Psychopathology and Behavioral Assessment or BMC Psychiatry. Q4 is planned for next year if the dataset still permits.</w:t>
      </w:r>
    </w:p>
    <w:p>
      <w:pPr>
        <w:spacing w:after="160"/>
        <w:ind w:firstLine="283" w:left="170"/>
        <w:jc w:val="both"/>
      </w:pPr>
      <w:r>
        <w:rPr>
          <w:rFonts w:ascii="Times New Roman" w:hAnsi="Times New Roman"/>
          <w:i/>
          <w:color w:val="333333"/>
          <w:sz w:val="22"/>
        </w:rPr>
        <w:t>Q2 + Q3 dùng SEM (lấy biến làm trung tâm): mỗi biến dự báo mỗi outcome. Q4 dùng LPA (lấy con người làm trung tâm): mỗi học sinh thuộc về một hồ sơ. Hai cách tiếp cận trả lời câu hỏi khoa học khác nhau và dùng cơ chế thống kê khác nhau. Không có rủi ro xuất bản trùng lặp. Q4 phù hợp các tạp chí như Journal of Psychopathology and Behavioral Assessment hoặc BMC Psychiatry. Q4 dự kiến năm sau nếu dữ liệu vẫn cho phép.</w:t>
      </w:r>
    </w:p>
    <w:p>
      <w:pPr>
        <w:spacing w:before="160" w:after="160"/>
        <w:ind w:left="283" w:right="283"/>
      </w:pPr>
      <w:r>
        <w:rPr>
          <w:rFonts w:ascii="Times New Roman" w:hAnsi="Times New Roman"/>
          <w:b/>
          <w:color w:val="006E2E"/>
          <w:sz w:val="22"/>
        </w:rPr>
        <w:t>▣ KEY CONCEPT — Three papers from one large dataset, each with a different angle: Q2 (integrated mechanisms), Q3 (gender invariance), Q4 (student typology). This is a "hat-trick" pattern common in high-impact cohort programs.</w:t>
      </w:r>
    </w:p>
    <w:p>
      <w:pPr>
        <w:spacing w:after="200"/>
        <w:ind w:left="283" w:right="283"/>
      </w:pPr>
      <w:r>
        <w:rPr>
          <w:rFonts w:ascii="Times New Roman" w:hAnsi="Times New Roman"/>
          <w:b/>
          <w:i/>
          <w:color w:val="006E2E"/>
          <w:sz w:val="22"/>
        </w:rPr>
        <w:t>▣ KHÁI NIỆM CỐT LÕI — Ba bài từ một bộ dữ liệu lớn, mỗi bài một góc độ khác nhau: Q2 (cơ chế tích hợp), Q3 (bất biến giới), Q4 (phân loại học sinh). Đây là mẫu hình "hat-trick" phổ biến trong các chương trình cohort có tầm ảnh hưởng cao.</w:t>
      </w:r>
    </w:p>
    <w:p>
      <w:pPr>
        <w:spacing w:before="200" w:after="80"/>
      </w:pPr>
      <w:r>
        <w:rPr>
          <w:rFonts w:ascii="Times New Roman" w:hAnsi="Times New Roman"/>
          <w:b/>
          <w:color w:val="2E74B5"/>
          <w:sz w:val="24"/>
        </w:rPr>
        <w:t>10.4 — LPA analogy / Phép ẩn dụ về LPA</w:t>
      </w:r>
    </w:p>
    <w:p>
      <w:pPr>
        <w:spacing w:after="80"/>
        <w:ind w:firstLine="283"/>
        <w:jc w:val="both"/>
      </w:pPr>
      <w:r>
        <w:rPr>
          <w:rFonts w:ascii="Times New Roman" w:hAnsi="Times New Roman"/>
          <w:sz w:val="22"/>
        </w:rPr>
        <w:t>LPA is like sorting a library. SEM asks "does this book's thickness predict its number of pages?" — a variable-by-variable question. LPA asks "are these books naturally grouped into shelves — fiction, science, history — based on patterns of multiple features together?" In our data, LPA may reveal student profiles such as "high-stress + low-support + high-anxiety" vs "moderate-stress + high-self-esteem + low-anxiety".</w:t>
      </w:r>
    </w:p>
    <w:p>
      <w:pPr>
        <w:spacing w:after="160"/>
        <w:ind w:firstLine="283" w:left="170"/>
        <w:jc w:val="both"/>
      </w:pPr>
      <w:r>
        <w:rPr>
          <w:rFonts w:ascii="Times New Roman" w:hAnsi="Times New Roman"/>
          <w:i/>
          <w:color w:val="333333"/>
          <w:sz w:val="22"/>
        </w:rPr>
        <w:t>LPA giống như sắp xếp thư viện. SEM hỏi "độ dày của cuốn sách có dự báo số trang của nó không?" — câu hỏi từng biến một. LPA hỏi "các cuốn sách có tự nhiên phân nhóm thành các kệ — tiểu thuyết, khoa học, lịch sử — dựa trên mẫu hình của nhiều đặc điểm cùng lúc không?" Trong dữ liệu, LPA có thể phát hiện các hồ sơ học sinh như "cao áp lực + thấp hỗ trợ + cao lo âu" vs "vừa áp lực + cao tự trọng + thấp lo âu".</w:t>
      </w:r>
    </w:p>
    <w:p>
      <w:pPr>
        <w:spacing w:before="200" w:after="80"/>
      </w:pPr>
      <w:r>
        <w:rPr>
          <w:rFonts w:ascii="Times New Roman" w:hAnsi="Times New Roman"/>
          <w:b/>
          <w:color w:val="2E74B5"/>
          <w:sz w:val="24"/>
        </w:rPr>
        <w:t>10.5 — Self-check / Câu hỏi tự kiểm tra</w:t>
      </w:r>
    </w:p>
    <w:p>
      <w:pPr>
        <w:spacing w:after="80"/>
        <w:ind w:firstLine="283"/>
        <w:jc w:val="both"/>
      </w:pPr>
      <w:r>
        <w:rPr>
          <w:rFonts w:ascii="Times New Roman" w:hAnsi="Times New Roman"/>
          <w:sz w:val="22"/>
        </w:rPr>
        <w:t>Q: Why doesn't LPA double-publish on Q2/Q3 data?</w:t>
      </w:r>
    </w:p>
    <w:p>
      <w:pPr>
        <w:spacing w:after="160"/>
        <w:ind w:firstLine="283" w:left="170"/>
        <w:jc w:val="both"/>
      </w:pPr>
      <w:r>
        <w:rPr>
          <w:rFonts w:ascii="Times New Roman" w:hAnsi="Times New Roman"/>
          <w:i/>
          <w:color w:val="333333"/>
          <w:sz w:val="22"/>
        </w:rPr>
        <w:t>Hỏi: Vì sao LPA không bị tính là tự đạo văn từ dữ liệu Q2/Q3?</w:t>
      </w:r>
    </w:p>
    <w:p>
      <w:pPr>
        <w:spacing w:after="80"/>
        <w:ind w:firstLine="283"/>
        <w:jc w:val="both"/>
      </w:pPr>
      <w:r>
        <w:rPr>
          <w:rFonts w:ascii="Times New Roman" w:hAnsi="Times New Roman"/>
          <w:sz w:val="22"/>
        </w:rPr>
        <w:t>A: Variable-centered (SEM) and person-centered (LPA) answer fundamentally different scientific questions and use different statistical mechanics — like asking "how tall is the average tree?" vs "what kinds of trees grow here?"</w:t>
      </w:r>
    </w:p>
    <w:p>
      <w:pPr>
        <w:spacing w:after="160"/>
        <w:ind w:firstLine="283" w:left="170"/>
        <w:jc w:val="both"/>
      </w:pPr>
      <w:r>
        <w:rPr>
          <w:rFonts w:ascii="Times New Roman" w:hAnsi="Times New Roman"/>
          <w:i/>
          <w:color w:val="333333"/>
          <w:sz w:val="22"/>
        </w:rPr>
        <w:t>Đáp: Cách tiếp cận lấy biến làm trung tâm (SEM) và lấy con người làm trung tâm (LPA) trả lời các câu hỏi khoa học khác nhau về bản chất và dùng cơ chế thống kê khác nhau — giống như hỏi "cây trung bình cao bao nhiêu?" vs "có những loài cây gì mọc ở đây?"</w:t>
      </w:r>
    </w:p>
    <w:p>
      <w:r>
        <w:br w:type="page"/>
      </w:r>
    </w:p>
    <w:p>
      <w:pPr>
        <w:jc w:val="center"/>
      </w:pPr>
      <w:r>
        <w:rPr>
          <w:rFonts w:ascii="Times New Roman" w:hAnsi="Times New Roman"/>
          <w:b/>
          <w:color w:val="1F4E79"/>
          <w:sz w:val="28"/>
        </w:rPr>
        <w:t>KEY REFERENCES / THAM KHẢO CHÍNH</w:t>
      </w:r>
    </w:p>
    <w:p>
      <w:pPr>
        <w:spacing w:after="80"/>
        <w:ind w:left="425" w:hanging="425"/>
      </w:pPr>
      <w:r>
        <w:rPr>
          <w:rFonts w:ascii="Times New Roman" w:hAnsi="Times New Roman"/>
          <w:sz w:val="20"/>
        </w:rPr>
        <w:t>[1] Kieling C, Buchweitz C, Caye A, et al. (2024). Worldwide prevalence and disability from mental disorders across childhood and adolescence. JAMA Psychiatry 81(4):347-356. DOI: 10.1001/jamapsychiatry.2023.5051.</w:t>
      </w:r>
    </w:p>
    <w:p>
      <w:pPr>
        <w:spacing w:after="80"/>
        <w:ind w:left="425" w:hanging="425"/>
      </w:pPr>
      <w:r>
        <w:rPr>
          <w:rFonts w:ascii="Times New Roman" w:hAnsi="Times New Roman"/>
          <w:sz w:val="20"/>
        </w:rPr>
        <w:t>[2] Kessler RC, Berglund P, Demler O, et al. (2005). Lifetime prevalence and age-of-onset distributions of DSM-IV disorders in the NCS-R. Arch Gen Psychiatry 62(6):593-602. PMID: 15939837.</w:t>
      </w:r>
    </w:p>
    <w:p>
      <w:pPr>
        <w:spacing w:after="80"/>
        <w:ind w:left="425" w:hanging="425"/>
      </w:pPr>
      <w:r>
        <w:rPr>
          <w:rFonts w:ascii="Times New Roman" w:hAnsi="Times New Roman"/>
          <w:sz w:val="20"/>
        </w:rPr>
        <w:t>[3] First MB, Yousif LH, Clarke DE, Wang PS, Gogtay N, Appelbaum PS. (2022). DSM-5-TR: overview of what's new and what's changed. World Psychiatry 21(2):218-219. PMID: 35524596.</w:t>
      </w:r>
    </w:p>
    <w:p>
      <w:pPr>
        <w:spacing w:after="80"/>
        <w:ind w:left="425" w:hanging="425"/>
      </w:pPr>
      <w:r>
        <w:rPr>
          <w:rFonts w:ascii="Times New Roman" w:hAnsi="Times New Roman"/>
          <w:sz w:val="20"/>
        </w:rPr>
        <w:t>[4] Pezzella P. (2022). The ICD-11 is now officially in effect. World Psychiatry 21(2):331-332. PMID: 35524598.</w:t>
      </w:r>
    </w:p>
    <w:p>
      <w:pPr>
        <w:spacing w:after="80"/>
        <w:ind w:left="425" w:hanging="425"/>
      </w:pPr>
      <w:r>
        <w:rPr>
          <w:rFonts w:ascii="Times New Roman" w:hAnsi="Times New Roman"/>
          <w:sz w:val="20"/>
        </w:rPr>
        <w:t>[5] Hankin BL, Mermelstein R, Roesch L. (2007). Sex differences in adolescent depression: Stress exposure and reactivity models. Child Development 78(1):279-295. PMID: 17328705.</w:t>
      </w:r>
    </w:p>
    <w:p>
      <w:pPr>
        <w:spacing w:after="80"/>
        <w:ind w:left="425" w:hanging="425"/>
      </w:pPr>
      <w:r>
        <w:rPr>
          <w:rFonts w:ascii="Times New Roman" w:hAnsi="Times New Roman"/>
          <w:sz w:val="20"/>
        </w:rPr>
        <w:t>[6] McLean CP, Anderson ER. (2009). Brave men and timid women? A review of the gender differences in fear and anxiety. Clinical Psychology Review 29(6):496-505. PMID: 19541399.</w:t>
      </w:r>
    </w:p>
    <w:p>
      <w:pPr>
        <w:spacing w:after="80"/>
        <w:ind w:left="425" w:hanging="425"/>
      </w:pPr>
      <w:r>
        <w:rPr>
          <w:rFonts w:ascii="Times New Roman" w:hAnsi="Times New Roman"/>
          <w:sz w:val="20"/>
        </w:rPr>
        <w:t>[7] Rose AJ. (2002). Co-rumination in the friendships of girls and boys. Child Development 73(6):1830-1843. PMID: 12487497.</w:t>
      </w:r>
    </w:p>
    <w:p>
      <w:pPr>
        <w:spacing w:after="80"/>
        <w:ind w:left="425" w:hanging="425"/>
      </w:pPr>
      <w:r>
        <w:rPr>
          <w:rFonts w:ascii="Times New Roman" w:hAnsi="Times New Roman"/>
          <w:sz w:val="20"/>
        </w:rPr>
        <w:t>[8] Stankov L. (2010). Unforgiving Confucian culture: A breeding ground for high academic achievement, test anxiety and self-doubt? Learning and Individual Differences 20(6):555-563.</w:t>
      </w:r>
    </w:p>
    <w:p>
      <w:pPr>
        <w:spacing w:after="80"/>
        <w:ind w:left="425" w:hanging="425"/>
      </w:pPr>
      <w:r>
        <w:rPr>
          <w:rFonts w:ascii="Times New Roman" w:hAnsi="Times New Roman"/>
          <w:sz w:val="20"/>
        </w:rPr>
        <w:t>[9] Small S, Blanc J. (2021). Mental Health During COVID-19: Tam Giao and Vietnam's Response. Frontiers in Psychiatry 11:589618. PMID: 33536961.</w:t>
      </w:r>
    </w:p>
    <w:p>
      <w:pPr>
        <w:spacing w:after="80"/>
        <w:ind w:left="425" w:hanging="425"/>
      </w:pPr>
      <w:r>
        <w:rPr>
          <w:rFonts w:ascii="Times New Roman" w:hAnsi="Times New Roman"/>
          <w:sz w:val="20"/>
        </w:rPr>
        <w:t>[10] Jefferies P, Ungar M. (2020). Social anxiety in young people: A prevalence study in seven countries. PLOS ONE 15(9):e0239133. DOI: 10.1371/journal.pone.0239133.</w:t>
      </w:r>
    </w:p>
    <w:p>
      <w:pPr>
        <w:spacing w:after="80"/>
        <w:ind w:left="425" w:hanging="425"/>
      </w:pPr>
      <w:r>
        <w:rPr>
          <w:rFonts w:ascii="Times New Roman" w:hAnsi="Times New Roman"/>
          <w:sz w:val="20"/>
        </w:rPr>
        <w:t>[11] Hu LT, Bentler PM. (1999). Cutoff criteria for fit indexes in covariance structure analysis. Structural Equation Modeling 6(1):1-55.</w:t>
      </w:r>
    </w:p>
    <w:p>
      <w:pPr>
        <w:spacing w:after="80"/>
        <w:ind w:left="425" w:hanging="425"/>
      </w:pPr>
      <w:r>
        <w:rPr>
          <w:rFonts w:ascii="Times New Roman" w:hAnsi="Times New Roman"/>
          <w:sz w:val="20"/>
        </w:rPr>
        <w:t>[12] Cheung GW, Rensvold RB. (2002). Evaluating goodness-of-fit indexes for testing measurement invariance. Structural Equation Modeling 9(2):233-255.</w:t>
      </w:r>
    </w:p>
    <w:p>
      <w:pPr>
        <w:spacing w:before="400"/>
        <w:jc w:val="center"/>
      </w:pPr>
      <w:r>
        <w:rPr>
          <w:rFonts w:ascii="Times New Roman" w:hAnsi="Times New Roman"/>
          <w:i/>
          <w:color w:val="808080"/>
          <w:sz w:val="20"/>
        </w:rPr>
        <w:t>Soạn 08/06/2026 — Bài học nhập môn 10 trang</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