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 [first author]; [Nguyen Minh Duc]; Hai-Nguyen Minh</w:t>
      </w:r>
    </w:p>
    <w:p>
      <w:pPr>
        <w:jc w:val="center"/>
      </w:pPr>
      <w:r>
        <w:rPr>
          <w:rFonts w:ascii="Times New Roman" w:hAnsi="Times New Roman"/>
          <w:i/>
          <w:color w:val="808080"/>
          <w:sz w:val="20"/>
        </w:rPr>
        <w:t>Faculty of Psychology and Education, Hanoi National University of Education</w:t>
      </w:r>
    </w:p>
    <w:p>
      <w:pPr>
        <w:jc w:val="center"/>
      </w:pPr>
      <w:r>
        <w:rPr>
          <w:rFonts w:ascii="Times New Roman" w:hAnsi="Times New Roman"/>
          <w:i/>
          <w:color w:val="808080"/>
          <w:sz w:val="20"/>
        </w:rPr>
        <w:t>Target journal: Frontiers in Psychiatry — Adolescent and Young Adult Psychiatry section</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lý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tại sao khác biệt giới về lo âu xuất hiện rõ ở giai đoạn đầu tuổi vị thành niên (11-14) rồi mờ đi hoặc biến mất ở giai đoạn thanh niên (16-29). Trước hết là cơ chế đỉnh dễ tổn thương ở giai đoạn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đào sâu lo lắng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chỉ rõ ở đường dẫn nào giới có vai trò, ở đường dẫn nào không có. Đây là thông tin có giá trị thực tế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tế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giải thích được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tế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tế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Lý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lý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lý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đào sâu lo lắng trong tình bạn nữ. Rose (2002) giới thiệu khái niệm co-rumination (cùng đào sâu lo lắng)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lý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