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
          <w:color w:val="FF0000"/>
          <w:sz w:val="26"/>
          <w:szCs w:val="26"/>
        </w:rPr>
      </w:pPr>
      <w:r>
        <w:rPr>
          <w:rFonts w:ascii="Times New Roman" w:hAnsi="Times New Roman" w:cs="Times New Roman"/>
          <w:color w:val="0070C0"/>
          <w:sz w:val="26"/>
          <w:szCs w:val="26"/>
        </w:rPr>
        <w:tab/>
      </w:r>
      <w:r>
        <w:rPr>
          <w:rFonts w:ascii="Times New Roman" w:hAnsi="Times New Roman" w:cs="Times New Roman"/>
          <w:b/>
          <w:color w:val="FF0000"/>
          <w:sz w:val="26"/>
          <w:szCs w:val="26"/>
        </w:rPr>
        <w:t>Ví dụ về</w:t>
      </w:r>
      <w:r>
        <w:rPr>
          <w:rFonts w:ascii="Times New Roman" w:hAnsi="Times New Roman" w:cs="Times New Roman"/>
          <w:b/>
          <w:color w:val="FF0000"/>
          <w:sz w:val="26"/>
          <w:szCs w:val="26"/>
        </w:rPr>
        <w:t xml:space="preserve"> tóm tắt</w:t>
      </w:r>
      <w:r>
        <w:rPr>
          <w:rFonts w:ascii="Times New Roman" w:hAnsi="Times New Roman" w:cs="Times New Roman"/>
          <w:b/>
          <w:color w:val="FF0000"/>
          <w:sz w:val="26"/>
          <w:szCs w:val="26"/>
        </w:rPr>
        <w:t xml:space="preserve"> từng bài</w:t>
      </w:r>
      <w:r>
        <w:rPr>
          <w:rFonts w:ascii="Times New Roman" w:hAnsi="Times New Roman" w:cs="Times New Roman"/>
          <w:b/>
          <w:color w:val="FF0000"/>
          <w:sz w:val="26"/>
          <w:szCs w:val="26"/>
        </w:rPr>
        <w:t xml:space="preserve"> để đưa vào nội dung </w:t>
      </w:r>
      <w:r>
        <w:rPr>
          <w:rFonts w:ascii="Times New Roman" w:hAnsi="Times New Roman" w:cs="Times New Roman"/>
          <w:b/>
          <w:color w:val="FF0000"/>
          <w:sz w:val="26"/>
          <w:szCs w:val="26"/>
        </w:rPr>
        <w:t>Báo cáo tổng hợp nghiên cứu</w:t>
      </w:r>
      <w:r>
        <w:rPr>
          <w:rFonts w:ascii="Times New Roman" w:hAnsi="Times New Roman" w:cs="Times New Roman"/>
          <w:b/>
          <w:color w:val="FF0000"/>
          <w:sz w:val="26"/>
          <w:szCs w:val="26"/>
        </w:rPr>
        <w:t xml:space="preserve"> (Bài 1)</w:t>
      </w:r>
    </w:p>
    <w:p>
      <w:pPr>
        <w:numPr>
          <w:ilvl w:val="0"/>
          <w:numId w:val="2"/>
        </w:numPr>
        <w:rPr>
          <w:rFonts w:ascii="Times New Roman" w:hAnsi="Times New Roman" w:cs="Times New Roman"/>
          <w:b/>
          <w:color w:val="FF0000"/>
          <w:sz w:val="26"/>
          <w:szCs w:val="26"/>
        </w:rPr>
      </w:pPr>
      <w:r>
        <w:rPr>
          <w:rFonts w:ascii="Times New Roman" w:hAnsi="Times New Roman" w:cs="Times New Roman"/>
          <w:b/>
          <w:color w:val="FF0000"/>
          <w:sz w:val="26"/>
          <w:szCs w:val="26"/>
        </w:rPr>
        <w:t>Tên công trình, tác giả, năm, mẫu khảo sát, đối tượng, khách thể, địa bàn</w:t>
      </w:r>
      <w:r>
        <w:rPr>
          <w:rFonts w:ascii="Times New Roman" w:hAnsi="Times New Roman" w:cs="Times New Roman"/>
          <w:b/>
          <w:color w:val="FF0000"/>
          <w:sz w:val="26"/>
          <w:szCs w:val="26"/>
        </w:rPr>
        <w:t xml:space="preserve"> khảo sát</w:t>
      </w:r>
    </w:p>
    <w:p>
      <w:pPr>
        <w:ind w:firstLine="708"/>
        <w:jc w:val="both"/>
        <w:rPr>
          <w:rFonts w:ascii="Times New Roman" w:hAnsi="Times New Roman" w:cs="Times New Roman"/>
          <w:color w:val="0070C0"/>
          <w:sz w:val="26"/>
          <w:szCs w:val="26"/>
        </w:rPr>
      </w:pPr>
      <w:r>
        <w:rPr>
          <w:rFonts w:ascii="Times New Roman" w:hAnsi="Times New Roman" w:cs="Times New Roman"/>
          <w:color w:val="0070C0"/>
          <w:sz w:val="26"/>
          <w:szCs w:val="26"/>
        </w:rPr>
        <w:t>Công trình nghiên cứu « Trầm cảm và lo âu ở học sinh trung học cơ sở đa sắc tộc: Tuổi, giới tính và môi trường văn hóa xã hội », do Janis H. Jenkins và cs. (2023) khảo sát trên mẫu 75 học sinh</w:t>
      </w:r>
      <w:r>
        <w:rPr>
          <w:rFonts w:ascii="Times New Roman" w:hAnsi="Times New Roman" w:cs="Times New Roman"/>
          <w:color w:val="0070C0"/>
          <w:sz w:val="26"/>
          <w:szCs w:val="26"/>
        </w:rPr>
        <w:t xml:space="preserve"> trung học cơ sở</w:t>
      </w:r>
      <w:r>
        <w:rPr>
          <w:rFonts w:ascii="Times New Roman" w:hAnsi="Times New Roman" w:cs="Times New Roman"/>
          <w:color w:val="0070C0"/>
          <w:sz w:val="26"/>
          <w:szCs w:val="26"/>
        </w:rPr>
        <w:t xml:space="preserve"> đa sắc tộc ở một vùng dân cư thu nhập thấp ở </w:t>
      </w:r>
      <w:r>
        <w:rPr>
          <w:rFonts w:ascii="Times New Roman" w:hAnsi="Times New Roman" w:cs="Times New Roman"/>
          <w:color w:val="0070C0"/>
          <w:sz w:val="26"/>
          <w:szCs w:val="26"/>
        </w:rPr>
        <w:t xml:space="preserve">Nam California, </w:t>
      </w:r>
      <w:r>
        <w:rPr>
          <w:rFonts w:ascii="Times New Roman" w:hAnsi="Times New Roman" w:cs="Times New Roman"/>
          <w:color w:val="0070C0"/>
          <w:sz w:val="26"/>
          <w:szCs w:val="26"/>
        </w:rPr>
        <w:t>Mỹ</w:t>
      </w:r>
      <w:r>
        <w:rPr>
          <w:rFonts w:ascii="Times New Roman" w:hAnsi="Times New Roman" w:cs="Times New Roman"/>
          <w:color w:val="0070C0"/>
          <w:sz w:val="26"/>
          <w:szCs w:val="26"/>
        </w:rPr>
        <w:t>.</w:t>
      </w:r>
    </w:p>
    <w:p>
      <w:pPr>
        <w:numPr>
          <w:ilvl w:val="0"/>
          <w:numId w:val="2"/>
        </w:numPr>
        <w:rPr>
          <w:rFonts w:ascii="Times New Roman" w:hAnsi="Times New Roman" w:cs="Times New Roman"/>
          <w:b/>
          <w:color w:val="FF0000"/>
          <w:sz w:val="26"/>
          <w:szCs w:val="26"/>
        </w:rPr>
      </w:pPr>
      <w:r>
        <w:rPr>
          <w:rFonts w:ascii="Times New Roman" w:hAnsi="Times New Roman" w:cs="Times New Roman"/>
          <w:b/>
          <w:color w:val="FF0000"/>
          <w:sz w:val="26"/>
          <w:szCs w:val="26"/>
        </w:rPr>
        <w:t>Phương pháp nghiên cứu</w:t>
      </w:r>
    </w:p>
    <w:p>
      <w:pPr>
        <w:ind w:firstLine="708"/>
        <w:jc w:val="both"/>
        <w:rPr>
          <w:rFonts w:ascii="Times New Roman" w:hAnsi="Times New Roman" w:cs="Times New Roman"/>
          <w:color w:val="0070C0"/>
          <w:sz w:val="26"/>
          <w:szCs w:val="26"/>
        </w:rPr>
      </w:pPr>
      <w:r>
        <w:rPr>
          <w:rFonts w:ascii="Times New Roman" w:hAnsi="Times New Roman" w:cs="Times New Roman"/>
          <w:color w:val="0070C0"/>
          <w:sz w:val="26"/>
          <w:szCs w:val="26"/>
        </w:rPr>
        <w:t>C</w:t>
      </w:r>
      <w:r>
        <w:rPr>
          <w:rFonts w:ascii="Times New Roman" w:hAnsi="Times New Roman" w:cs="Times New Roman"/>
          <w:color w:val="0070C0"/>
          <w:sz w:val="26"/>
          <w:szCs w:val="26"/>
        </w:rPr>
        <w:t>ông trình này</w:t>
      </w:r>
      <w:r>
        <w:rPr>
          <w:rFonts w:ascii="Times New Roman" w:hAnsi="Times New Roman" w:cs="Times New Roman"/>
          <w:color w:val="0070C0"/>
          <w:sz w:val="26"/>
          <w:szCs w:val="26"/>
        </w:rPr>
        <w:t xml:space="preserve"> sử dụng các </w:t>
      </w:r>
      <w:r>
        <w:rPr>
          <w:rFonts w:ascii="Times New Roman" w:hAnsi="Times New Roman" w:cs="Times New Roman"/>
          <w:color w:val="0070C0"/>
          <w:sz w:val="26"/>
          <w:szCs w:val="26"/>
        </w:rPr>
        <w:t xml:space="preserve">công cụ sàng lọc </w:t>
      </w:r>
      <w:r>
        <w:rPr>
          <w:rFonts w:ascii="Times New Roman" w:hAnsi="Times New Roman" w:cs="Times New Roman"/>
          <w:b/>
          <w:color w:val="0070C0"/>
          <w:sz w:val="26"/>
          <w:szCs w:val="26"/>
        </w:rPr>
        <w:t>PHQ-9A</w:t>
      </w:r>
      <w:r>
        <w:rPr>
          <w:rFonts w:ascii="Times New Roman" w:hAnsi="Times New Roman" w:cs="Times New Roman"/>
          <w:color w:val="0070C0"/>
          <w:sz w:val="26"/>
          <w:szCs w:val="26"/>
        </w:rPr>
        <w:t xml:space="preserve"> và </w:t>
      </w:r>
      <w:r>
        <w:rPr>
          <w:rFonts w:ascii="Times New Roman" w:hAnsi="Times New Roman" w:cs="Times New Roman"/>
          <w:b/>
          <w:color w:val="0070C0"/>
          <w:sz w:val="26"/>
          <w:szCs w:val="26"/>
        </w:rPr>
        <w:t>GAD-10</w:t>
      </w:r>
      <w:r>
        <w:rPr>
          <w:rFonts w:ascii="Times New Roman" w:hAnsi="Times New Roman" w:cs="Times New Roman"/>
          <w:color w:val="0070C0"/>
          <w:sz w:val="26"/>
          <w:szCs w:val="26"/>
        </w:rPr>
        <w:t xml:space="preserve"> kết hợp với phỏng vấ</w:t>
      </w:r>
      <w:r>
        <w:rPr>
          <w:rFonts w:ascii="Times New Roman" w:hAnsi="Times New Roman" w:cs="Times New Roman"/>
          <w:color w:val="0070C0"/>
          <w:sz w:val="26"/>
          <w:szCs w:val="26"/>
        </w:rPr>
        <w:t>n sâu.</w:t>
      </w:r>
      <w:r>
        <w:rPr>
          <w:rFonts w:ascii="Times New Roman" w:hAnsi="Times New Roman" w:cs="Times New Roman"/>
          <w:color w:val="0070C0"/>
          <w:sz w:val="26"/>
          <w:szCs w:val="26"/>
        </w:rPr>
        <w:t xml:space="preserve"> Nói cách khác, công trình này sử dụng phương pháp hỗn hợp.</w:t>
      </w:r>
    </w:p>
    <w:p>
      <w:pPr>
        <w:rPr>
          <w:rFonts w:ascii="Times New Roman" w:hAnsi="Times New Roman" w:cs="Times New Roman"/>
          <w:color w:val="0070C0"/>
          <w:sz w:val="26"/>
          <w:szCs w:val="26"/>
        </w:rPr>
      </w:pPr>
      <w:r>
        <w:rPr>
          <w:rFonts w:ascii="Times New Roman" w:hAnsi="Times New Roman" w:cs="Times New Roman"/>
          <w:color w:val="0070C0"/>
          <w:sz w:val="26"/>
          <w:szCs w:val="26"/>
        </w:rPr>
        <w:t xml:space="preserve">PHQ-9A là phiên bản sửa đổi cho thanh thiếu niên của thang sàng lọc trầm cảm Bảng câu hỏi Sức khỏe Bệnh nhân (Johnson và cộng sự, 2002) </w:t>
      </w:r>
    </w:p>
    <w:p>
      <w:pPr>
        <w:rPr>
          <w:rFonts w:ascii="Times New Roman" w:hAnsi="Times New Roman" w:cs="Times New Roman"/>
          <w:color w:val="0070C0"/>
          <w:sz w:val="26"/>
          <w:szCs w:val="26"/>
        </w:rPr>
      </w:pPr>
      <w:r>
        <w:rPr>
          <w:rFonts w:ascii="Times New Roman" w:hAnsi="Times New Roman" w:cs="Times New Roman"/>
          <w:color w:val="0070C0"/>
          <w:sz w:val="26"/>
          <w:szCs w:val="26"/>
        </w:rPr>
      </w:r>
      <w:r>
        <w:rPr>
          <w:rFonts w:ascii="Times New Roman" w:hAnsi="Times New Roman"/>
          <w:sz w:val="26"/>
        </w:rPr>
        <w:t xml:space="preserve">(GAD-10) là phiên bản dành cho trẻ em (tuổi 11-17) của thang </w:t>
      </w:r>
      <w:r>
        <w:rPr>
          <w:rFonts w:ascii="Times New Roman" w:hAnsi="Times New Roman"/>
          <w:b/>
          <w:color w:val="C00000"/>
          <w:sz w:val="26"/>
        </w:rPr>
        <w:t>Rối loạn Lo âu Tổng quát</w:t>
      </w:r>
      <w:r>
        <w:rPr>
          <w:rFonts w:ascii="Times New Roman" w:hAnsi="Times New Roman"/>
          <w:sz w:val="26"/>
        </w:rPr>
        <w:t xml:space="preserve">  (Craske và cộng sự, 2013). </w:t>
      </w:r>
    </w:p>
    <w:p>
      <w:pPr>
        <w:rPr>
          <w:rFonts w:ascii="Times New Roman" w:hAnsi="Times New Roman" w:cs="Times New Roman"/>
          <w:color w:val="0070C0"/>
          <w:sz w:val="26"/>
          <w:szCs w:val="26"/>
        </w:rPr>
      </w:pPr>
      <w:r>
        <w:rPr>
          <w:rFonts w:ascii="Times New Roman" w:hAnsi="Times New Roman" w:cs="Times New Roman"/>
          <w:color w:val="0070C0"/>
          <w:sz w:val="26"/>
          <w:szCs w:val="26"/>
        </w:rPr>
        <w:t xml:space="preserve">Tổng quan tài liệu của chúng tôi cho thấy các thang </w:t>
      </w:r>
      <w:r>
        <w:rPr>
          <w:rFonts w:ascii="Times New Roman" w:hAnsi="Times New Roman" w:cs="Times New Roman"/>
          <w:b/>
          <w:color w:val="0070C0"/>
          <w:sz w:val="26"/>
          <w:szCs w:val="26"/>
        </w:rPr>
        <w:t>PHQ-9</w:t>
      </w:r>
      <w:r>
        <w:rPr>
          <w:rFonts w:ascii="Times New Roman" w:hAnsi="Times New Roman" w:cs="Times New Roman"/>
          <w:color w:val="0070C0"/>
          <w:sz w:val="26"/>
          <w:szCs w:val="26"/>
        </w:rPr>
        <w:t xml:space="preserve"> và </w:t>
      </w:r>
      <w:r>
        <w:rPr>
          <w:rFonts w:ascii="Times New Roman" w:hAnsi="Times New Roman" w:cs="Times New Roman"/>
          <w:b/>
          <w:color w:val="0070C0"/>
          <w:sz w:val="26"/>
          <w:szCs w:val="26"/>
        </w:rPr>
        <w:t>GAD-7</w:t>
      </w:r>
      <w:r>
        <w:rPr>
          <w:rFonts w:ascii="Times New Roman" w:hAnsi="Times New Roman" w:cs="Times New Roman"/>
          <w:color w:val="0070C0"/>
          <w:sz w:val="26"/>
          <w:szCs w:val="26"/>
        </w:rPr>
        <w:t xml:space="preserve"> dành cho người lớn thường được sử dụng không phù hợp với trẻ em và thanh thiếu niên (Anand và cộng sự, 2021; Mossman và cộng sự, 2017; Richardson và cộng sự, 2010; Tiirikainen và cộng sự, 2019; Tsai và cộng sự, 2014; Walter và cộng sự, 2020).</w:t>
      </w:r>
    </w:p>
    <w:p>
      <w:pPr>
        <w:rPr>
          <w:rFonts w:ascii="Times New Roman" w:hAnsi="Times New Roman" w:cs="Times New Roman"/>
          <w:color w:val="0070C0"/>
          <w:sz w:val="26"/>
          <w:szCs w:val="26"/>
        </w:rPr>
      </w:pPr>
      <w:r>
        <w:rPr>
          <w:rFonts w:ascii="Times New Roman" w:hAnsi="Times New Roman" w:cs="Times New Roman"/>
          <w:color w:val="0070C0"/>
          <w:sz w:val="26"/>
          <w:szCs w:val="26"/>
        </w:rPr>
        <w:t xml:space="preserve">Dữ liệu nhân khẩu xã hội bao gồm tuổi, bản dạng giới tính, thành phần gia đình và tôn giáo. </w:t>
      </w:r>
    </w:p>
    <w:p>
      <w:pPr>
        <w:rPr>
          <w:rFonts w:ascii="Times New Roman" w:hAnsi="Times New Roman" w:cs="Times New Roman"/>
          <w:color w:val="0070C0"/>
          <w:sz w:val="26"/>
          <w:szCs w:val="26"/>
        </w:rPr>
      </w:pPr>
      <w:r>
        <w:rPr>
          <w:rFonts w:ascii="Times New Roman" w:hAnsi="Times New Roman" w:cs="Times New Roman"/>
          <w:color w:val="0070C0"/>
          <w:sz w:val="26"/>
          <w:szCs w:val="26"/>
        </w:rPr>
        <w:t>Hướng dẫn phỏng vấn sâu của chúng tôi được thiết kế để tìm hiểu một cách mở, với sự linh hoạt cho các câu hỏi thăm dò. Các chủ đề phỏng vấn bao gồm cuộc sống gia đình, trải nghiệm ở trường, sức khỏe tâm thần và sức khỏe tổng thể, quan điểm về bạn bè đồng trang lứa, các viễn cảnh về khu phố và các sự kiện quốc gia và toàn cầu rộng lớn hơn, cũng như mục tiêu tương lai. Tất cả các cuộc phỏng vấn được tiến hành bằng tiếng Anh và được ghi âm để phiên âm và phân tích mã hóa chủ đề định tính bằng phần mềm NVivo.</w:t>
      </w:r>
    </w:p>
    <w:p>
      <w:pPr>
        <w:jc w:val="both"/>
        <w:rPr>
          <w:rFonts w:ascii="Times New Roman" w:hAnsi="Times New Roman" w:cs="Times New Roman"/>
          <w:color w:val="0070C0"/>
          <w:sz w:val="26"/>
          <w:szCs w:val="26"/>
        </w:rPr>
      </w:pPr>
      <w:r>
        <w:rPr>
          <w:rFonts w:ascii="Times New Roman" w:hAnsi="Times New Roman" w:cs="Times New Roman"/>
          <w:color w:val="0070C0"/>
          <w:sz w:val="26"/>
          <w:szCs w:val="26"/>
        </w:rPr>
        <w:t>Phương pháp hỗn hợp của chúng tôi sử dụng các thang sàng lọc trầm cảm và lo âu kết hợp với các công cụ phỏng vấn sâu, được xây dựng dựa trên các nghiên cứu trước đây chứng minh tính bổ sung của nhiều loại bằng chứng nghiên cứu khác nhau soi chiếu lẫn nhau trên các lĩnh vực tìm hiểu (Csordas và cộng sự, 2010; Jenkins, 2015; Jenkins &amp; Csordas, 2020). Ví dụ, trong khi học sinh có thể phủ nhận sự hiện diện của các triệu chứng khi được đánh giá theo thang điểm, họ có thể kể lại trải nghiệm của mình về các triệu chứng này trong một cuộc phỏng vấn mở. Ngược lại, một số người tham gia nghiên cứu có thể xác nhận các mục trong đánh giá thang điểm mà họ có thể không muốn nói đến trong phỏng vấn tường thuật.</w:t>
      </w:r>
    </w:p>
    <w:p>
      <w:pPr>
        <w:numPr>
          <w:ilvl w:val="0"/>
          <w:numId w:val="2"/>
        </w:numPr>
        <w:rPr>
          <w:rFonts w:ascii="Times New Roman" w:hAnsi="Times New Roman" w:cs="Times New Roman"/>
          <w:b/>
          <w:color w:val="FF0000"/>
          <w:sz w:val="26"/>
          <w:szCs w:val="26"/>
        </w:rPr>
      </w:pPr>
      <w:r>
        <w:rPr>
          <w:rFonts w:ascii="Times New Roman" w:hAnsi="Times New Roman" w:cs="Times New Roman"/>
          <w:b/>
          <w:color w:val="FF0000"/>
          <w:sz w:val="26"/>
          <w:szCs w:val="26"/>
        </w:rPr>
        <w:t>Kết quả nghiên cứu</w:t>
      </w:r>
      <w:r>
        <w:rPr>
          <w:rFonts w:ascii="Times New Roman" w:hAnsi="Times New Roman" w:cs="Times New Roman"/>
          <w:b/>
          <w:color w:val="FF0000"/>
          <w:sz w:val="26"/>
          <w:szCs w:val="26"/>
        </w:rPr>
        <w:t xml:space="preserve"> định lượng </w:t>
      </w:r>
    </w:p>
    <w:p>
      <w:pPr>
        <w:pStyle w:val="ListBullet"/>
        <w:numPr>
          <w:ilvl w:val="0"/>
          <w:numId w:val="0"/>
        </w:numPr>
        <w:ind w:left="360" w:hanging="360"/>
        <w:rPr>
          <w:rFonts w:cs="Times New Roman"/>
          <w:color w:val="0070C0"/>
          <w:sz w:val="26"/>
          <w:szCs w:val="26"/>
          <w:lang w:val="fr-FR"/>
        </w:rPr>
      </w:pPr>
      <w:r>
        <w:rPr>
          <w:rFonts w:cs="Times New Roman"/>
          <w:color w:val="0070C0"/>
          <w:sz w:val="26"/>
          <w:szCs w:val="26"/>
          <w:lang w:val="fr-FR"/>
        </w:rPr>
        <w:t>Tỷ lệ và mức độ học sinh bị rối loạn trầm cảm, theo thang đo PHQ-9A</w:t>
      </w:r>
    </w:p>
    <w:p>
      <w:r>
        <w:rPr>
          <w:b/>
          <w:sz w:val="22"/>
          <w:rFonts w:ascii="Times New Roman" w:hAnsi="Times New Roman"/>
        </w:rPr>
        <w:t>Bảng 1. Kết quả chính</w:t>
      </w:r>
    </w:p>
    <w:tbl>
      <w:tblPr>
        <w:tblStyle w:val="TableGrid"/>
        <w:tblW w:w="0" w:type="auto"/>
        <w:tblLook w:val="04A0" w:firstRow="1" w:lastRow="0" w:firstColumn="1" w:lastColumn="0" w:noHBand="0" w:noVBand="1"/>
      </w:tblPr>
      <w:tblGrid>
        <w:gridCol w:w="7194"/>
        <w:gridCol w:w="850"/>
        <w:gridCol w:w="1251"/>
      </w:tblGrid>
      <w:tr>
        <w:tc>
          <w:tcPr>
            <w:tcW w:w="7194" w:type="dxa"/>
          </w:tcPr>
          <w:p>
            <w:pPr>
              <w:rPr>
                <w:rFonts w:ascii="Times New Roman" w:hAnsi="Times New Roman" w:cs="Times New Roman"/>
                <w:color w:val="0070C0"/>
              </w:rPr>
            </w:pPr>
            <w:r>
              <w:rPr>
                <w:rFonts w:ascii="Times New Roman" w:hAnsi="Times New Roman" w:cs="Times New Roman"/>
                <w:b/>
                <w:color w:val="0070C0"/>
              </w:rPr>
              <w:t>Phạm vi PHQ-9A</w:t>
            </w:r>
          </w:p>
        </w:tc>
        <w:tc>
          <w:tcPr>
            <w:tcW w:w="850" w:type="dxa"/>
          </w:tcPr>
          <w:p>
            <w:pPr>
              <w:rPr>
                <w:rFonts w:ascii="Times New Roman" w:hAnsi="Times New Roman" w:cs="Times New Roman"/>
                <w:color w:val="0070C0"/>
              </w:rPr>
            </w:pPr>
            <w:r>
              <w:rPr>
                <w:rFonts w:ascii="Times New Roman" w:hAnsi="Times New Roman" w:cs="Times New Roman"/>
                <w:b/>
                <w:color w:val="0070C0"/>
              </w:rPr>
              <w:t>N</w:t>
            </w:r>
          </w:p>
        </w:tc>
        <w:tc>
          <w:tcPr>
            <w:tcW w:w="1251" w:type="dxa"/>
          </w:tcPr>
          <w:p>
            <w:pPr>
              <w:rPr>
                <w:rFonts w:ascii="Times New Roman" w:hAnsi="Times New Roman" w:cs="Times New Roman"/>
                <w:color w:val="0070C0"/>
              </w:rPr>
            </w:pPr>
            <w:r>
              <w:rPr>
                <w:rFonts w:ascii="Times New Roman" w:hAnsi="Times New Roman" w:cs="Times New Roman"/>
                <w:b/>
                <w:color w:val="0070C0"/>
              </w:rPr>
              <w:t>%</w:t>
            </w:r>
          </w:p>
        </w:tc>
      </w:tr>
      <w:tr>
        <w:tc>
          <w:tcPr>
            <w:tcW w:w="7194" w:type="dxa"/>
          </w:tcPr>
          <w:p>
            <w:pPr>
              <w:rPr>
                <w:rFonts w:ascii="Times New Roman" w:hAnsi="Times New Roman" w:cs="Times New Roman"/>
                <w:color w:val="0070C0"/>
              </w:rPr>
            </w:pPr>
            <w:r>
              <w:rPr>
                <w:rFonts w:ascii="Times New Roman" w:hAnsi="Times New Roman" w:cs="Times New Roman"/>
                <w:color w:val="0070C0"/>
              </w:rPr>
              <w:t>Không có (0-4)</w:t>
            </w:r>
          </w:p>
        </w:tc>
        <w:tc>
          <w:tcPr>
            <w:tcW w:w="850" w:type="dxa"/>
          </w:tcPr>
          <w:p>
            <w:pPr>
              <w:rPr>
                <w:rFonts w:ascii="Times New Roman" w:hAnsi="Times New Roman" w:cs="Times New Roman"/>
                <w:color w:val="0070C0"/>
              </w:rPr>
            </w:pPr>
            <w:r>
              <w:rPr>
                <w:rFonts w:ascii="Times New Roman" w:hAnsi="Times New Roman" w:cs="Times New Roman"/>
                <w:color w:val="0070C0"/>
              </w:rPr>
              <w:t>42</w:t>
            </w:r>
          </w:p>
        </w:tc>
        <w:tc>
          <w:tcPr>
            <w:tcW w:w="1251" w:type="dxa"/>
          </w:tcPr>
          <w:p>
            <w:pPr>
              <w:rPr>
                <w:rFonts w:ascii="Times New Roman" w:hAnsi="Times New Roman" w:cs="Times New Roman"/>
                <w:color w:val="0070C0"/>
              </w:rPr>
            </w:pPr>
            <w:r>
              <w:rPr>
                <w:rFonts w:ascii="Times New Roman" w:hAnsi="Times New Roman" w:cs="Times New Roman"/>
                <w:color w:val="0070C0"/>
              </w:rPr>
              <w:t>56</w:t>
            </w:r>
          </w:p>
        </w:tc>
      </w:tr>
      <w:tr>
        <w:tc>
          <w:tcPr>
            <w:tcW w:w="7194" w:type="dxa"/>
          </w:tcPr>
          <w:p>
            <w:pPr>
              <w:rPr>
                <w:rFonts w:ascii="Times New Roman" w:hAnsi="Times New Roman" w:cs="Times New Roman"/>
                <w:color w:val="0070C0"/>
              </w:rPr>
            </w:pPr>
            <w:r>
              <w:rPr>
                <w:rFonts w:ascii="Times New Roman" w:hAnsi="Times New Roman" w:cs="Times New Roman"/>
                <w:color w:val="0070C0"/>
              </w:rPr>
              <w:t>Nhẹ (5-9)</w:t>
            </w:r>
          </w:p>
        </w:tc>
        <w:tc>
          <w:tcPr>
            <w:tcW w:w="850" w:type="dxa"/>
          </w:tcPr>
          <w:p>
            <w:pPr>
              <w:rPr>
                <w:rFonts w:ascii="Times New Roman" w:hAnsi="Times New Roman" w:cs="Times New Roman"/>
                <w:color w:val="0070C0"/>
              </w:rPr>
            </w:pPr>
            <w:r>
              <w:rPr>
                <w:rFonts w:ascii="Times New Roman" w:hAnsi="Times New Roman" w:cs="Times New Roman"/>
                <w:color w:val="0070C0"/>
              </w:rPr>
              <w:t>17</w:t>
            </w:r>
          </w:p>
        </w:tc>
        <w:tc>
          <w:tcPr>
            <w:tcW w:w="1251" w:type="dxa"/>
          </w:tcPr>
          <w:p>
            <w:pPr>
              <w:rPr>
                <w:rFonts w:ascii="Times New Roman" w:hAnsi="Times New Roman" w:cs="Times New Roman"/>
                <w:color w:val="0070C0"/>
              </w:rPr>
            </w:pPr>
            <w:r>
              <w:rPr>
                <w:rFonts w:ascii="Times New Roman" w:hAnsi="Times New Roman" w:cs="Times New Roman"/>
                <w:color w:val="0070C0"/>
              </w:rPr>
              <w:t>22,6</w:t>
            </w:r>
          </w:p>
        </w:tc>
      </w:tr>
      <w:tr>
        <w:tc>
          <w:tcPr>
            <w:tcW w:w="7194" w:type="dxa"/>
          </w:tcPr>
          <w:p>
            <w:pPr>
              <w:rPr>
                <w:rFonts w:ascii="Times New Roman" w:hAnsi="Times New Roman" w:cs="Times New Roman"/>
                <w:color w:val="0070C0"/>
              </w:rPr>
            </w:pPr>
            <w:r>
              <w:rPr>
                <w:rFonts w:ascii="Times New Roman" w:hAnsi="Times New Roman" w:cs="Times New Roman"/>
                <w:color w:val="0070C0"/>
              </w:rPr>
              <w:t>Trung bình (10-14)</w:t>
            </w:r>
          </w:p>
        </w:tc>
        <w:tc>
          <w:tcPr>
            <w:tcW w:w="850" w:type="dxa"/>
          </w:tcPr>
          <w:p>
            <w:pPr>
              <w:rPr>
                <w:rFonts w:ascii="Times New Roman" w:hAnsi="Times New Roman" w:cs="Times New Roman"/>
                <w:color w:val="0070C0"/>
              </w:rPr>
            </w:pPr>
            <w:r>
              <w:rPr>
                <w:rFonts w:ascii="Times New Roman" w:hAnsi="Times New Roman" w:cs="Times New Roman"/>
                <w:color w:val="0070C0"/>
              </w:rPr>
              <w:t>12</w:t>
            </w:r>
          </w:p>
        </w:tc>
        <w:tc>
          <w:tcPr>
            <w:tcW w:w="1251" w:type="dxa"/>
          </w:tcPr>
          <w:p>
            <w:pPr>
              <w:rPr>
                <w:rFonts w:ascii="Times New Roman" w:hAnsi="Times New Roman" w:cs="Times New Roman"/>
                <w:color w:val="0070C0"/>
              </w:rPr>
            </w:pPr>
            <w:r>
              <w:rPr>
                <w:rFonts w:ascii="Times New Roman" w:hAnsi="Times New Roman" w:cs="Times New Roman"/>
                <w:color w:val="0070C0"/>
              </w:rPr>
              <w:t>16</w:t>
            </w:r>
          </w:p>
        </w:tc>
      </w:tr>
      <w:tr>
        <w:tc>
          <w:tcPr>
            <w:tcW w:w="7194" w:type="dxa"/>
          </w:tcPr>
          <w:p>
            <w:pPr>
              <w:rPr>
                <w:rFonts w:ascii="Times New Roman" w:hAnsi="Times New Roman" w:cs="Times New Roman"/>
                <w:color w:val="0070C0"/>
              </w:rPr>
            </w:pPr>
            <w:r>
              <w:rPr>
                <w:rFonts w:ascii="Times New Roman" w:hAnsi="Times New Roman" w:cs="Times New Roman"/>
                <w:color w:val="0070C0"/>
              </w:rPr>
              <w:t>Trung bình nặng (15-19)</w:t>
            </w:r>
          </w:p>
        </w:tc>
        <w:tc>
          <w:tcPr>
            <w:tcW w:w="850" w:type="dxa"/>
          </w:tcPr>
          <w:p>
            <w:pPr>
              <w:rPr>
                <w:rFonts w:ascii="Times New Roman" w:hAnsi="Times New Roman" w:cs="Times New Roman"/>
                <w:color w:val="0070C0"/>
              </w:rPr>
            </w:pPr>
            <w:r>
              <w:rPr>
                <w:rFonts w:ascii="Times New Roman" w:hAnsi="Times New Roman" w:cs="Times New Roman"/>
                <w:color w:val="0070C0"/>
              </w:rPr>
              <w:t>2</w:t>
            </w:r>
          </w:p>
        </w:tc>
        <w:tc>
          <w:tcPr>
            <w:tcW w:w="1251" w:type="dxa"/>
          </w:tcPr>
          <w:p>
            <w:pPr>
              <w:rPr>
                <w:rFonts w:ascii="Times New Roman" w:hAnsi="Times New Roman" w:cs="Times New Roman"/>
                <w:color w:val="0070C0"/>
              </w:rPr>
            </w:pPr>
            <w:r>
              <w:rPr>
                <w:rFonts w:ascii="Times New Roman" w:hAnsi="Times New Roman" w:cs="Times New Roman"/>
                <w:color w:val="0070C0"/>
              </w:rPr>
              <w:t>2,7</w:t>
            </w:r>
          </w:p>
        </w:tc>
      </w:tr>
      <w:tr>
        <w:tc>
          <w:tcPr>
            <w:tcW w:w="7194" w:type="dxa"/>
          </w:tcPr>
          <w:p>
            <w:pPr>
              <w:rPr>
                <w:rFonts w:ascii="Times New Roman" w:hAnsi="Times New Roman" w:cs="Times New Roman"/>
                <w:color w:val="0070C0"/>
              </w:rPr>
            </w:pPr>
            <w:r>
              <w:rPr>
                <w:rFonts w:ascii="Times New Roman" w:hAnsi="Times New Roman" w:cs="Times New Roman"/>
                <w:color w:val="0070C0"/>
              </w:rPr>
              <w:t>Nặng (20-27)</w:t>
            </w:r>
          </w:p>
        </w:tc>
        <w:tc>
          <w:tcPr>
            <w:tcW w:w="850" w:type="dxa"/>
          </w:tcPr>
          <w:p>
            <w:pPr>
              <w:rPr>
                <w:rFonts w:ascii="Times New Roman" w:hAnsi="Times New Roman" w:cs="Times New Roman"/>
                <w:color w:val="0070C0"/>
              </w:rPr>
            </w:pPr>
            <w:r>
              <w:rPr>
                <w:rFonts w:ascii="Times New Roman" w:hAnsi="Times New Roman" w:cs="Times New Roman"/>
                <w:color w:val="0070C0"/>
              </w:rPr>
              <w:t>2</w:t>
            </w:r>
          </w:p>
        </w:tc>
        <w:tc>
          <w:tcPr>
            <w:tcW w:w="1251" w:type="dxa"/>
          </w:tcPr>
          <w:p>
            <w:pPr>
              <w:rPr>
                <w:rFonts w:ascii="Times New Roman" w:hAnsi="Times New Roman" w:cs="Times New Roman"/>
                <w:color w:val="0070C0"/>
              </w:rPr>
            </w:pPr>
            <w:r>
              <w:rPr>
                <w:rFonts w:ascii="Times New Roman" w:hAnsi="Times New Roman" w:cs="Times New Roman"/>
                <w:color w:val="0070C0"/>
              </w:rPr>
              <w:t>2,7</w:t>
            </w:r>
          </w:p>
        </w:tc>
      </w:tr>
    </w:tbl>
    <w:p>
      <w:pPr>
        <w:pStyle w:val="ListBullet"/>
        <w:numPr>
          <w:ilvl w:val="0"/>
          <w:numId w:val="0"/>
        </w:numPr>
        <w:ind w:left="360" w:hanging="360"/>
        <w:rPr>
          <w:rFonts w:cs="Times New Roman"/>
          <w:color w:val="0070C0"/>
          <w:sz w:val="28"/>
          <w:szCs w:val="28"/>
          <w:lang w:val="fr-FR"/>
        </w:rPr>
      </w:pPr>
    </w:p>
    <w:p>
      <w:pPr>
        <w:pStyle w:val="ListBullet"/>
        <w:numPr>
          <w:ilvl w:val="0"/>
          <w:numId w:val="0"/>
        </w:numPr>
        <w:ind w:left="360" w:hanging="360"/>
        <w:rPr>
          <w:rFonts w:cs="Times New Roman"/>
          <w:color w:val="0070C0"/>
          <w:sz w:val="28"/>
          <w:szCs w:val="28"/>
          <w:lang w:val="fr-FR"/>
        </w:rPr>
      </w:pPr>
      <w:r>
        <w:rPr>
          <w:rFonts w:cs="Times New Roman"/>
          <w:color w:val="0070C0"/>
          <w:sz w:val="28"/>
          <w:szCs w:val="28"/>
          <w:lang w:val="fr-FR"/>
        </w:rPr>
        <w:t>Tỷ lệ và mức độ học sinh bị rối loạn lo âu, theo thang đo GAD-10</w:t>
      </w:r>
    </w:p>
    <w:p>
      <w:r>
        <w:rPr>
          <w:b/>
          <w:sz w:val="22"/>
          <w:rFonts w:ascii="Times New Roman" w:hAnsi="Times New Roman"/>
        </w:rPr>
        <w:t>Bảng 2. So sánh</w:t>
      </w:r>
    </w:p>
    <w:tbl>
      <w:tblPr>
        <w:tblStyle w:val="TableGrid"/>
        <w:tblW w:w="0" w:type="auto"/>
        <w:tblLook w:val="04A0" w:firstRow="1" w:lastRow="0" w:firstColumn="1" w:lastColumn="0" w:noHBand="0" w:noVBand="1"/>
      </w:tblPr>
      <w:tblGrid>
        <w:gridCol w:w="7315"/>
        <w:gridCol w:w="850"/>
        <w:gridCol w:w="1170"/>
      </w:tblGrid>
      <w:tr>
        <w:tc>
          <w:tcPr>
            <w:tcW w:w="7315" w:type="dxa"/>
          </w:tcPr>
          <w:p>
            <w:pPr>
              <w:rPr>
                <w:rFonts w:ascii="Times New Roman" w:hAnsi="Times New Roman" w:cs="Times New Roman"/>
                <w:color w:val="0070C0"/>
              </w:rPr>
            </w:pPr>
            <w:r>
              <w:rPr>
                <w:rFonts w:ascii="Times New Roman" w:hAnsi="Times New Roman" w:cs="Times New Roman"/>
                <w:b/>
                <w:color w:val="0070C0"/>
              </w:rPr>
              <w:t>Phạm vi GAD-10</w:t>
            </w:r>
          </w:p>
        </w:tc>
        <w:tc>
          <w:tcPr>
            <w:tcW w:w="850" w:type="dxa"/>
          </w:tcPr>
          <w:p>
            <w:pPr>
              <w:rPr>
                <w:rFonts w:ascii="Times New Roman" w:hAnsi="Times New Roman" w:cs="Times New Roman"/>
                <w:color w:val="0070C0"/>
              </w:rPr>
            </w:pPr>
            <w:r>
              <w:rPr>
                <w:rFonts w:ascii="Times New Roman" w:hAnsi="Times New Roman" w:cs="Times New Roman"/>
                <w:b/>
                <w:color w:val="0070C0"/>
              </w:rPr>
              <w:t>N</w:t>
            </w:r>
          </w:p>
        </w:tc>
        <w:tc>
          <w:tcPr>
            <w:tcW w:w="1170" w:type="dxa"/>
          </w:tcPr>
          <w:p>
            <w:pPr>
              <w:rPr>
                <w:rFonts w:ascii="Times New Roman" w:hAnsi="Times New Roman" w:cs="Times New Roman"/>
                <w:color w:val="0070C0"/>
              </w:rPr>
            </w:pPr>
            <w:r>
              <w:rPr>
                <w:rFonts w:ascii="Times New Roman" w:hAnsi="Times New Roman" w:cs="Times New Roman"/>
                <w:b/>
                <w:color w:val="0070C0"/>
              </w:rPr>
              <w:t>%*</w:t>
            </w:r>
          </w:p>
        </w:tc>
      </w:tr>
      <w:tr>
        <w:tc>
          <w:tcPr>
            <w:tcW w:w="7315" w:type="dxa"/>
          </w:tcPr>
          <w:p>
            <w:pPr>
              <w:rPr>
                <w:rFonts w:ascii="Times New Roman" w:hAnsi="Times New Roman" w:cs="Times New Roman"/>
                <w:color w:val="0070C0"/>
              </w:rPr>
            </w:pPr>
            <w:r>
              <w:rPr>
                <w:rFonts w:ascii="Times New Roman" w:hAnsi="Times New Roman" w:cs="Times New Roman"/>
                <w:color w:val="0070C0"/>
              </w:rPr>
              <w:t>Không có (0-4,90)</w:t>
            </w:r>
          </w:p>
        </w:tc>
        <w:tc>
          <w:tcPr>
            <w:tcW w:w="850" w:type="dxa"/>
          </w:tcPr>
          <w:p>
            <w:pPr>
              <w:rPr>
                <w:rFonts w:ascii="Times New Roman" w:hAnsi="Times New Roman" w:cs="Times New Roman"/>
                <w:color w:val="0070C0"/>
              </w:rPr>
            </w:pPr>
            <w:r>
              <w:rPr>
                <w:rFonts w:ascii="Times New Roman" w:hAnsi="Times New Roman" w:cs="Times New Roman"/>
                <w:color w:val="0070C0"/>
              </w:rPr>
              <w:t>37</w:t>
            </w:r>
          </w:p>
        </w:tc>
        <w:tc>
          <w:tcPr>
            <w:tcW w:w="1170" w:type="dxa"/>
          </w:tcPr>
          <w:p>
            <w:pPr>
              <w:rPr>
                <w:rFonts w:ascii="Times New Roman" w:hAnsi="Times New Roman" w:cs="Times New Roman"/>
                <w:color w:val="0070C0"/>
              </w:rPr>
            </w:pPr>
            <w:r>
              <w:rPr>
                <w:rFonts w:ascii="Times New Roman" w:hAnsi="Times New Roman" w:cs="Times New Roman"/>
                <w:color w:val="0070C0"/>
              </w:rPr>
              <w:t>49,3</w:t>
            </w:r>
          </w:p>
        </w:tc>
      </w:tr>
      <w:tr>
        <w:tc>
          <w:tcPr>
            <w:tcW w:w="7315" w:type="dxa"/>
          </w:tcPr>
          <w:p>
            <w:pPr>
              <w:rPr>
                <w:rFonts w:ascii="Times New Roman" w:hAnsi="Times New Roman" w:cs="Times New Roman"/>
                <w:color w:val="0070C0"/>
              </w:rPr>
            </w:pPr>
            <w:r>
              <w:rPr>
                <w:rFonts w:ascii="Times New Roman" w:hAnsi="Times New Roman" w:cs="Times New Roman"/>
                <w:color w:val="0070C0"/>
              </w:rPr>
              <w:t>Nhẹ (5,00-14,90)</w:t>
            </w:r>
          </w:p>
        </w:tc>
        <w:tc>
          <w:tcPr>
            <w:tcW w:w="850" w:type="dxa"/>
          </w:tcPr>
          <w:p>
            <w:pPr>
              <w:rPr>
                <w:rFonts w:ascii="Times New Roman" w:hAnsi="Times New Roman" w:cs="Times New Roman"/>
                <w:color w:val="0070C0"/>
              </w:rPr>
            </w:pPr>
            <w:r>
              <w:rPr>
                <w:rFonts w:ascii="Times New Roman" w:hAnsi="Times New Roman" w:cs="Times New Roman"/>
                <w:color w:val="0070C0"/>
              </w:rPr>
              <w:t>24</w:t>
            </w:r>
          </w:p>
        </w:tc>
        <w:tc>
          <w:tcPr>
            <w:tcW w:w="1170" w:type="dxa"/>
          </w:tcPr>
          <w:p>
            <w:pPr>
              <w:rPr>
                <w:rFonts w:ascii="Times New Roman" w:hAnsi="Times New Roman" w:cs="Times New Roman"/>
                <w:color w:val="0070C0"/>
              </w:rPr>
            </w:pPr>
            <w:r>
              <w:rPr>
                <w:rFonts w:ascii="Times New Roman" w:hAnsi="Times New Roman" w:cs="Times New Roman"/>
                <w:color w:val="0070C0"/>
              </w:rPr>
              <w:t>32</w:t>
            </w:r>
          </w:p>
        </w:tc>
      </w:tr>
      <w:tr>
        <w:tc>
          <w:tcPr>
            <w:tcW w:w="7315" w:type="dxa"/>
          </w:tcPr>
          <w:p>
            <w:pPr>
              <w:rPr>
                <w:rFonts w:ascii="Times New Roman" w:hAnsi="Times New Roman" w:cs="Times New Roman"/>
                <w:color w:val="0070C0"/>
              </w:rPr>
            </w:pPr>
            <w:r>
              <w:rPr>
                <w:rFonts w:ascii="Times New Roman" w:hAnsi="Times New Roman" w:cs="Times New Roman"/>
                <w:color w:val="0070C0"/>
              </w:rPr>
              <w:lastRenderedPageBreak/>
              <w:t>Trung bình (15,00-24,90)</w:t>
            </w:r>
          </w:p>
        </w:tc>
        <w:tc>
          <w:tcPr>
            <w:tcW w:w="850" w:type="dxa"/>
          </w:tcPr>
          <w:p>
            <w:pPr>
              <w:rPr>
                <w:rFonts w:ascii="Times New Roman" w:hAnsi="Times New Roman" w:cs="Times New Roman"/>
                <w:color w:val="0070C0"/>
              </w:rPr>
            </w:pPr>
            <w:r>
              <w:rPr>
                <w:rFonts w:ascii="Times New Roman" w:hAnsi="Times New Roman" w:cs="Times New Roman"/>
                <w:color w:val="0070C0"/>
              </w:rPr>
              <w:t>10</w:t>
            </w:r>
          </w:p>
        </w:tc>
        <w:tc>
          <w:tcPr>
            <w:tcW w:w="1170" w:type="dxa"/>
          </w:tcPr>
          <w:p>
            <w:pPr>
              <w:rPr>
                <w:rFonts w:ascii="Times New Roman" w:hAnsi="Times New Roman" w:cs="Times New Roman"/>
                <w:color w:val="0070C0"/>
              </w:rPr>
            </w:pPr>
            <w:r>
              <w:rPr>
                <w:rFonts w:ascii="Times New Roman" w:hAnsi="Times New Roman" w:cs="Times New Roman"/>
                <w:color w:val="0070C0"/>
              </w:rPr>
              <w:t>13,3</w:t>
            </w:r>
          </w:p>
        </w:tc>
      </w:tr>
      <w:tr>
        <w:tc>
          <w:tcPr>
            <w:tcW w:w="7315" w:type="dxa"/>
          </w:tcPr>
          <w:p>
            <w:pPr>
              <w:rPr>
                <w:rFonts w:ascii="Times New Roman" w:hAnsi="Times New Roman" w:cs="Times New Roman"/>
                <w:color w:val="0070C0"/>
              </w:rPr>
            </w:pPr>
            <w:r>
              <w:rPr>
                <w:rFonts w:ascii="Times New Roman" w:hAnsi="Times New Roman" w:cs="Times New Roman"/>
                <w:color w:val="0070C0"/>
              </w:rPr>
              <w:t>Nặng (25,00-34,90)</w:t>
            </w:r>
          </w:p>
        </w:tc>
        <w:tc>
          <w:tcPr>
            <w:tcW w:w="850" w:type="dxa"/>
          </w:tcPr>
          <w:p>
            <w:pPr>
              <w:rPr>
                <w:rFonts w:ascii="Times New Roman" w:hAnsi="Times New Roman" w:cs="Times New Roman"/>
                <w:color w:val="0070C0"/>
              </w:rPr>
            </w:pPr>
            <w:r>
              <w:rPr>
                <w:rFonts w:ascii="Times New Roman" w:hAnsi="Times New Roman" w:cs="Times New Roman"/>
                <w:color w:val="0070C0"/>
              </w:rPr>
              <w:t>3</w:t>
            </w:r>
          </w:p>
        </w:tc>
        <w:tc>
          <w:tcPr>
            <w:tcW w:w="1170" w:type="dxa"/>
          </w:tcPr>
          <w:p>
            <w:pPr>
              <w:rPr>
                <w:rFonts w:ascii="Times New Roman" w:hAnsi="Times New Roman" w:cs="Times New Roman"/>
                <w:color w:val="0070C0"/>
              </w:rPr>
            </w:pPr>
            <w:r>
              <w:rPr>
                <w:rFonts w:ascii="Times New Roman" w:hAnsi="Times New Roman" w:cs="Times New Roman"/>
                <w:color w:val="0070C0"/>
              </w:rPr>
              <w:t>4</w:t>
            </w:r>
          </w:p>
        </w:tc>
      </w:tr>
      <w:tr>
        <w:tc>
          <w:tcPr>
            <w:tcW w:w="7315" w:type="dxa"/>
          </w:tcPr>
          <w:p>
            <w:pPr>
              <w:rPr>
                <w:rFonts w:ascii="Times New Roman" w:hAnsi="Times New Roman" w:cs="Times New Roman"/>
                <w:color w:val="0070C0"/>
              </w:rPr>
            </w:pPr>
            <w:r>
              <w:rPr>
                <w:rFonts w:ascii="Times New Roman" w:hAnsi="Times New Roman" w:cs="Times New Roman"/>
                <w:color w:val="0070C0"/>
              </w:rPr>
              <w:t>Cực kỳ nặng (35,00-40,00)</w:t>
            </w:r>
          </w:p>
        </w:tc>
        <w:tc>
          <w:tcPr>
            <w:tcW w:w="850" w:type="dxa"/>
          </w:tcPr>
          <w:p>
            <w:pPr>
              <w:rPr>
                <w:rFonts w:ascii="Times New Roman" w:hAnsi="Times New Roman" w:cs="Times New Roman"/>
                <w:color w:val="0070C0"/>
              </w:rPr>
            </w:pPr>
            <w:r>
              <w:rPr>
                <w:rFonts w:ascii="Times New Roman" w:hAnsi="Times New Roman" w:cs="Times New Roman"/>
                <w:color w:val="0070C0"/>
              </w:rPr>
              <w:t>1</w:t>
            </w:r>
          </w:p>
        </w:tc>
        <w:tc>
          <w:tcPr>
            <w:tcW w:w="1170" w:type="dxa"/>
          </w:tcPr>
          <w:p>
            <w:pPr>
              <w:rPr>
                <w:rFonts w:ascii="Times New Roman" w:hAnsi="Times New Roman" w:cs="Times New Roman"/>
                <w:color w:val="0070C0"/>
              </w:rPr>
            </w:pPr>
            <w:r>
              <w:rPr>
                <w:rFonts w:ascii="Times New Roman" w:hAnsi="Times New Roman" w:cs="Times New Roman"/>
                <w:color w:val="0070C0"/>
              </w:rPr>
              <w:t>1,3</w:t>
            </w:r>
          </w:p>
        </w:tc>
      </w:tr>
    </w:tbl>
    <w:p>
      <w:pPr>
        <w:numPr>
          <w:ilvl w:val="0"/>
          <w:numId w:val="5"/>
        </w:numPr>
        <w:rPr>
          <w:rFonts w:ascii="Times New Roman" w:hAnsi="Times New Roman" w:cs="Times New Roman"/>
          <w:color w:val="0070C0"/>
          <w:sz w:val="26"/>
          <w:szCs w:val="26"/>
        </w:rPr>
      </w:pPr>
      <w:r>
        <w:rPr>
          <w:rFonts w:ascii="Times New Roman" w:hAnsi="Times New Roman" w:cs="Times New Roman"/>
          <w:color w:val="0070C0"/>
          <w:sz w:val="26"/>
          <w:szCs w:val="26"/>
        </w:rPr>
        <w:t>Về tần suất, mức "nhẹ" là phổ biến nhất : trầm cảm nhẹ là 22,6% và lo âu nhẹ là 32%. Mức trung bình đến cực kỳ nặng ít được quan sát thấy hơn. Khi gộp lại bất kỳ mức độ triệu chứng nào, 44% thanh thiếu niên trong nghiên cứu rơi vào phạm vi từ nhẹ đến nặng của thang sàng lọc trầm cảm PHQ-9A, trong khi các phản hồi GAD-10 cho thấy khoảng một nửa (50,6%) thanh thiếu niên rơi vào phạm vi sàng lọc lo âu từ nhẹ đến cực kỳ nặng.</w:t>
      </w:r>
    </w:p>
    <w:p>
      <w:pPr>
        <w:pStyle w:val="Heading3"/>
        <w:numPr>
          <w:ilvl w:val="0"/>
          <w:numId w:val="5"/>
        </w:numPr>
        <w:rPr>
          <w:rFonts w:ascii="Times New Roman" w:hAnsi="Times New Roman" w:cs="Times New Roman"/>
          <w:b w:val="0"/>
          <w:color w:val="0070C0"/>
          <w:sz w:val="26"/>
          <w:szCs w:val="26"/>
          <w:lang w:val="fr-FR"/>
        </w:rPr>
      </w:pPr>
      <w:r>
        <w:rPr>
          <w:rFonts w:ascii="Times New Roman" w:hAnsi="Times New Roman" w:cs="Times New Roman"/>
          <w:b w:val="0"/>
          <w:color w:val="0070C0"/>
          <w:sz w:val="26"/>
          <w:szCs w:val="26"/>
          <w:lang w:val="fr-FR"/>
        </w:rPr>
        <w:t>Khác biệt giớ</w:t>
      </w:r>
      <w:r>
        <w:rPr>
          <w:rFonts w:ascii="Times New Roman" w:hAnsi="Times New Roman" w:cs="Times New Roman"/>
          <w:b w:val="0"/>
          <w:color w:val="0070C0"/>
          <w:sz w:val="26"/>
          <w:szCs w:val="26"/>
          <w:lang w:val="fr-FR"/>
        </w:rPr>
        <w:t xml:space="preserve">i tính : </w:t>
      </w:r>
      <w:r>
        <w:rPr>
          <w:rFonts w:ascii="Times New Roman" w:hAnsi="Times New Roman" w:cs="Times New Roman"/>
          <w:b w:val="0"/>
          <w:color w:val="0070C0"/>
          <w:sz w:val="26"/>
          <w:szCs w:val="26"/>
          <w:lang w:val="fr-FR"/>
        </w:rPr>
        <w:t xml:space="preserve">Nữ giới luôn báo cáo mức trầm cảm cao hơn nam giới (Salk và cộng sự, 2017). </w:t>
      </w:r>
      <w:r>
        <w:rPr>
          <w:rFonts w:ascii="Times New Roman" w:hAnsi="Times New Roman" w:cs="Times New Roman"/>
          <w:b w:val="0"/>
          <w:color w:val="0070C0"/>
          <w:sz w:val="26"/>
          <w:szCs w:val="26"/>
          <w:lang w:val="fr-FR"/>
        </w:rPr>
        <w:t>Thực tế, sự chênh lệch giới trong trầm cảm đã mở rộng ở thanh thiếu niên tại Hoa Kỳ trong thập kỷ qua (Daly, 2022). Chúng tôi xác nhận trong nhóm thanh thiếu niên sớm này rằng điểm PHQ-9A cao hơn ở nữ so với nam (p = 0,002, kiểm định Mann-Whitney), với chênh lệch trung vị là 4 điểm (Hình 2). Tương tự, điểm GAD-10 cao hơn ở nữ so với nam (p = 0,016, kiểm định Mann-Whitney), với chênh lệch trung vị là 3 điểm</w:t>
      </w:r>
    </w:p>
    <w:p>
      <w:pPr>
        <w:numPr>
          <w:ilvl w:val="0"/>
          <w:numId w:val="2"/>
        </w:numPr>
        <w:rPr>
          <w:rFonts w:ascii="Times New Roman" w:hAnsi="Times New Roman" w:cs="Times New Roman"/>
          <w:b/>
          <w:color w:val="FF0000"/>
          <w:sz w:val="26"/>
          <w:szCs w:val="26"/>
        </w:rPr>
      </w:pPr>
      <w:r>
        <w:rPr>
          <w:rFonts w:ascii="Times New Roman" w:hAnsi="Times New Roman" w:cs="Times New Roman"/>
          <w:b/>
          <w:color w:val="FF0000"/>
          <w:sz w:val="26"/>
          <w:szCs w:val="26"/>
        </w:rPr>
        <w:t>Nhận xét, phát hiện qua kết quả nghiên cứu</w:t>
      </w:r>
    </w:p>
    <w:p>
      <w:pPr>
        <w:pStyle w:val="Heading3"/>
        <w:ind w:left="360"/>
        <w:rPr>
          <w:rFonts w:ascii="Times New Roman" w:hAnsi="Times New Roman" w:cs="Times New Roman"/>
          <w:color w:val="0070C0"/>
          <w:sz w:val="26"/>
          <w:szCs w:val="26"/>
          <w:lang w:val="fr-FR"/>
        </w:rPr>
      </w:pPr>
      <w:r>
        <w:rPr>
          <w:rFonts w:ascii="Times New Roman" w:hAnsi="Times New Roman" w:cs="Times New Roman"/>
          <w:color w:val="0070C0"/>
          <w:sz w:val="26"/>
          <w:szCs w:val="26"/>
          <w:lang w:val="fr-FR"/>
        </w:rPr>
        <w:t>Phát hiện dân tộc học về COVID-19, phân biệt đối xử và bạo lực trên cơ sở giới</w:t>
      </w:r>
    </w:p>
    <w:p>
      <w:pPr>
        <w:ind w:left="360"/>
        <w:rPr>
          <w:rFonts w:ascii="Times New Roman" w:hAnsi="Times New Roman" w:cs="Times New Roman"/>
          <w:color w:val="0070C0"/>
          <w:sz w:val="26"/>
          <w:szCs w:val="26"/>
        </w:rPr>
      </w:pPr>
      <w:r>
        <w:rPr>
          <w:rFonts w:ascii="Times New Roman" w:hAnsi="Times New Roman" w:cs="Times New Roman"/>
          <w:color w:val="0070C0"/>
          <w:sz w:val="26"/>
          <w:szCs w:val="26"/>
        </w:rPr>
        <w:t>*COVID-19.* Nổi bật đối với cả nữ sinh và nam sinh là sự lo lắng về hậu quả của COVID-19 (Bệnh virus corona 2019 - Coronavirus Disease 2019) đối với gia đình liên quan đến bệnh tật, tử vong, mất việc làm và khó khăn kinh tế. Đây là một lĩnh vực sức khỏe tâm thần không nằm trong các mục sàng lọc nhưng được mô tả chi tiết bởi các cuộc phỏng vấn dân tộc học.</w:t>
      </w:r>
    </w:p>
    <w:p>
      <w:pPr>
        <w:ind w:left="360"/>
        <w:rPr>
          <w:rFonts w:ascii="Times New Roman" w:hAnsi="Times New Roman" w:cs="Times New Roman"/>
          <w:color w:val="0070C0"/>
          <w:sz w:val="26"/>
          <w:szCs w:val="26"/>
        </w:rPr>
      </w:pPr>
      <w:r>
        <w:rPr>
          <w:rFonts w:ascii="Times New Roman" w:hAnsi="Times New Roman" w:cs="Times New Roman"/>
          <w:color w:val="0070C0"/>
          <w:sz w:val="26"/>
          <w:szCs w:val="26"/>
        </w:rPr>
        <w:t>*Phân biệt đối xử.* Nỗi sợ hãi trước nhận thức của học sinh về sự gia tăng phân biệt đối xử và phân biệt chủng tộc trong trường học và cộng đồng là rất nổi bật. Những vấn đề này được học sinh trải nghiệm như những rào cản đối với sự tham gia giáo dục.</w:t>
      </w:r>
    </w:p>
    <w:p>
      <w:pPr>
        <w:ind w:left="360"/>
        <w:rPr>
          <w:rFonts w:ascii="Times New Roman" w:hAnsi="Times New Roman" w:cs="Times New Roman"/>
          <w:color w:val="0070C0"/>
          <w:sz w:val="26"/>
          <w:szCs w:val="26"/>
        </w:rPr>
      </w:pPr>
      <w:r>
        <w:rPr>
          <w:rFonts w:ascii="Times New Roman" w:hAnsi="Times New Roman" w:cs="Times New Roman"/>
          <w:color w:val="0070C0"/>
          <w:sz w:val="26"/>
          <w:szCs w:val="26"/>
        </w:rPr>
        <w:t>*Bạo lực trên cơ sở giới.* Các cuộc phỏng vấn dân tộc học cho thấy các bối cảnh liên quan đến trải nghiệm trầm cảm và lo âu của nữ sinh, bao gồm bạo lực trên cơ sở giới trong cả môi trường trường học và gia đình.</w:t>
      </w:r>
    </w:p>
    <w:p>
      <w:pPr>
        <w:numPr>
          <w:ilvl w:val="0"/>
          <w:numId w:val="2"/>
        </w:numPr>
        <w:rPr>
          <w:rFonts w:ascii="Times New Roman" w:hAnsi="Times New Roman" w:cs="Times New Roman"/>
          <w:b/>
          <w:color w:val="FF0000"/>
          <w:sz w:val="26"/>
          <w:szCs w:val="26"/>
          <w:lang w:val="en-US"/>
        </w:rPr>
      </w:pPr>
      <w:r>
        <w:rPr>
          <w:rFonts w:ascii="Times New Roman" w:hAnsi="Times New Roman" w:cs="Times New Roman"/>
          <w:b/>
          <w:color w:val="FF0000"/>
          <w:sz w:val="26"/>
          <w:szCs w:val="26"/>
          <w:lang w:val="en-US"/>
        </w:rPr>
        <w:t>Kết luận</w:t>
      </w:r>
    </w:p>
    <w:p>
      <w:pPr>
        <w:ind w:left="360" w:firstLine="348"/>
        <w:rPr>
          <w:rFonts w:ascii="Times New Roman" w:hAnsi="Times New Roman" w:cs="Times New Roman"/>
          <w:b/>
          <w:color w:val="0070C0"/>
          <w:sz w:val="26"/>
          <w:szCs w:val="26"/>
          <w:lang w:val="en-US"/>
        </w:rPr>
      </w:pPr>
      <w:r>
        <w:rPr>
          <w:rFonts w:ascii="Times New Roman" w:hAnsi="Times New Roman" w:cs="Times New Roman"/>
          <w:color w:val="0070C0"/>
          <w:sz w:val="26"/>
          <w:szCs w:val="26"/>
          <w:lang w:val="en-US"/>
        </w:rPr>
        <w:t>Dữ liệu của chúng tôi, cho thấy sự hiện diện của các mức độ triệu chứng trầm cảm và lo âu từ nhẹ đến nặng trong một mẫu phi lâm sàng gồm các học sinh trung học cơ sở trẻ tuổi, gợi ý rằng cần chú ý nghiên cứu ở độ tuổi sớm hơn cho các quy trình sàng lọc cơ bản. Những phát hiện ở trẻ 11 tuổi này có ý nghĩa lâm sàng tiềm năng cho việc nhận diện các tình trạng dưới ngưỡng hội chứng trong giai đoạn đầu tuổi vị thành niên. Sự khác biệt giới tính có ý nghĩa, trước đây được tìm thấy ở thanh thiếu niên lớn tuổi hơn và người trưởng thành, đã có thể quan sát được trong nghiên cứu này. Trong bối cảnh trường trung học cơ sở như nghiên cứu hiện tại, nhu cầu giải quyết các khó khăn sức khỏe tâm thần, dù ở mức nhẹ hay nặng, là thiết yếu để tạo điều kiện cho sự tham gia giáo dục.</w:t>
      </w:r>
      <w:r>
        <w:rPr>
          <w:rFonts w:ascii="Times New Roman" w:hAnsi="Times New Roman" w:cs="Times New Roman"/>
          <w:b/>
          <w:color w:val="0070C0"/>
          <w:sz w:val="26"/>
          <w:szCs w:val="26"/>
          <w:lang w:val="en-US"/>
        </w:rPr>
        <w:t xml:space="preserve"> </w:t>
      </w:r>
    </w:p>
    <w:p>
      <w:pPr>
        <w:pStyle w:val="Heading2"/>
        <w:numPr>
          <w:ilvl w:val="0"/>
          <w:numId w:val="2"/>
        </w:numPr>
        <w:rPr>
          <w:b/>
          <w:color w:val="FF0000"/>
          <w:sz w:val="28"/>
          <w:szCs w:val="28"/>
          <w:lang w:val="en-US"/>
        </w:rPr>
      </w:pPr>
      <w:r>
        <w:rPr>
          <w:rFonts w:ascii="Times New Roman" w:hAnsi="Times New Roman"/>
          <w:b/>
          <w:color w:val="FF0000"/>
          <w:sz w:val="28"/>
          <w:szCs w:val="28"/>
          <w:lang w:val="en-US"/>
        </w:rPr>
        <w:t>P</w:t>
      </w:r>
      <w:r>
        <w:rPr>
          <w:rFonts w:ascii="Times New Roman" w:hAnsi="Times New Roman"/>
          <w:b/>
          <w:color w:val="FF0000"/>
          <w:sz w:val="28"/>
          <w:szCs w:val="28"/>
          <w:lang w:val="en-US"/>
        </w:rPr>
        <w:t>hản biện</w:t>
      </w:r>
    </w:p>
    <w:p>
      <w:pPr>
        <w:ind w:left="360" w:firstLine="348"/>
        <w:rPr>
          <w:color w:val="0070C0"/>
          <w:sz w:val="28"/>
          <w:szCs w:val="28"/>
          <w:lang w:val="en-US"/>
        </w:rPr>
      </w:pPr>
      <w:bookmarkStart w:id="0" w:name="_GoBack"/>
      <w:r>
        <w:rPr>
          <w:rFonts w:ascii="Times New Roman" w:hAnsi="Times New Roman"/>
          <w:color w:val="0070C0"/>
          <w:sz w:val="28"/>
          <w:szCs w:val="28"/>
          <w:lang w:val="en-US"/>
        </w:rPr>
        <w:t>Cỡ mẫu rất nhỏ (n=75), chọn mẫu thuận tiện tại 1 trường duy nhất. GAD-10 là phiên bản sửa đổi thiếu dữ liệu xác thực (validation). Thiết kế kéo dài 2018–2021 trùng COVID-19 nhưng không kiểm soát hiệu ứng thời điểm. Tuy nhiên, phương pháp hỗn hợp là điểm sáng — ít NC nào kết hợp dân tộc học với sàng lọc.</w:t>
      </w:r>
    </w:p>
    <w:bookmarkEnd w:id="0"/>
    <w:p>
      <w:pPr>
        <w:pStyle w:val="Heading2"/>
        <w:numPr>
          <w:ilvl w:val="0"/>
          <w:numId w:val="2"/>
        </w:numPr>
        <w:rPr>
          <w:b/>
          <w:color w:val="FF0000"/>
          <w:sz w:val="28"/>
          <w:szCs w:val="28"/>
          <w:lang w:val="en-US"/>
        </w:rPr>
      </w:pPr>
      <w:r>
        <w:rPr>
          <w:rFonts w:ascii="Times New Roman" w:hAnsi="Times New Roman"/>
          <w:b/>
          <w:color w:val="FF0000"/>
          <w:sz w:val="28"/>
          <w:szCs w:val="28"/>
          <w:lang w:val="en-US"/>
        </w:rPr>
        <w:t>Hướng nghiên cứu tiếp theo</w:t>
      </w:r>
    </w:p>
    <w:p>
      <w:pPr>
        <w:ind w:left="360" w:firstLine="348"/>
        <w:rPr>
          <w:color w:val="0070C0"/>
          <w:lang w:val="en-US"/>
        </w:rPr>
      </w:pPr>
      <w:r>
        <w:rPr>
          <w:rFonts w:ascii="Times New Roman" w:hAnsi="Times New Roman"/>
          <w:color w:val="0070C0"/>
          <w:sz w:val="22"/>
          <w:lang w:val="en-US"/>
        </w:rPr>
        <w:t>Cần mở rộng cỡ mẫu. Phát triển công cụ sàng lọc nhạy cảm văn hóa. Nghiên cứu dọc theo dõi từ đầu vị thành niên. Đánh giá can thiệp giải quyết yếu tố văn hóa xã hội.</w:t>
      </w:r>
    </w:p>
    <w:p>
      <w:pPr>
        <w:rPr>
          <w:lang w:val="en-US"/>
        </w:rPr>
      </w:pPr>
    </w:p>
    <w:p>
      <w:pPr>
        <w:rPr>
          <w:lang w:val="en-US"/>
        </w:rPr>
      </w:pPr>
      <w:r>
        <w:rPr>
          <w:rFonts w:ascii="Times New Roman" w:hAnsi="Times New Roman"/>
          <w:b/>
          <w:sz w:val="22"/>
          <w:lang w:val="en-US"/>
        </w:rPr>
        <w:lastRenderedPageBreak/>
        <w:t xml:space="preserve">Đánh giá chất lượng: </w:t>
      </w:r>
      <w:r>
        <w:rPr>
          <w:rFonts w:ascii="Times New Roman" w:hAnsi="Times New Roman"/>
          <w:b/>
          <w:sz w:val="22"/>
        </w:rPr>
        <w:t>⭐⭐⭐</w:t>
      </w:r>
      <w:r>
        <w:rPr>
          <w:rFonts w:ascii="Times New Roman" w:hAnsi="Times New Roman"/>
          <w:b/>
          <w:sz w:val="22"/>
          <w:lang w:val="en-US"/>
        </w:rPr>
        <w:t xml:space="preserve"> Trung bình-Khá</w:t>
      </w:r>
    </w:p>
    <w:p>
      <w:pPr>
        <w:ind w:left="360" w:firstLine="348"/>
        <w:rPr>
          <w:rFonts w:ascii="Times New Roman" w:hAnsi="Times New Roman" w:cs="Times New Roman"/>
          <w:b/>
          <w:color w:val="0070C0"/>
          <w:sz w:val="26"/>
          <w:szCs w:val="26"/>
          <w:lang w:val="en-US"/>
        </w:rPr>
      </w:pPr>
    </w:p>
    <w:sectPr>
      <w:pgSz w:w="11909" w:h="16834" w:code="9"/>
      <w:pgMar w:top="576" w:right="288" w:bottom="288"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9341D2"/>
    <w:multiLevelType w:val="hybridMultilevel"/>
    <w:tmpl w:val="DA30028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12C2BB2"/>
    <w:multiLevelType w:val="hybridMultilevel"/>
    <w:tmpl w:val="DA30028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CF71DBF"/>
    <w:multiLevelType w:val="hybridMultilevel"/>
    <w:tmpl w:val="DA30028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D1ECD"/>
  <w15:chartTrackingRefBased/>
  <w15:docId w15:val="{3A92E139-46A6-4017-9597-B3B748B1F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D7E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14A3C"/>
    <w:pPr>
      <w:keepNext/>
      <w:keepLines/>
      <w:spacing w:before="200" w:after="0" w:line="276" w:lineRule="auto"/>
      <w:outlineLvl w:val="2"/>
    </w:pPr>
    <w:rPr>
      <w:rFonts w:asciiTheme="majorHAnsi" w:eastAsiaTheme="majorEastAsia" w:hAnsiTheme="majorHAnsi" w:cstheme="majorBidi"/>
      <w:b/>
      <w:bCs/>
      <w:color w:val="5B9BD5" w:themeColor="accent1"/>
      <w:sz w:val="24"/>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1B5368"/>
    <w:pPr>
      <w:numPr>
        <w:numId w:val="1"/>
      </w:numPr>
      <w:spacing w:after="200" w:line="276" w:lineRule="auto"/>
      <w:contextualSpacing/>
    </w:pPr>
    <w:rPr>
      <w:rFonts w:ascii="Times New Roman" w:eastAsiaTheme="minorEastAsia" w:hAnsi="Times New Roman" w:cstheme="minorBidi"/>
      <w:sz w:val="24"/>
      <w:szCs w:val="22"/>
      <w:lang w:val="en-US"/>
    </w:rPr>
  </w:style>
  <w:style w:type="table" w:styleId="TableGrid">
    <w:name w:val="Table Grid"/>
    <w:basedOn w:val="TableNormal"/>
    <w:uiPriority w:val="59"/>
    <w:rsid w:val="00887F81"/>
    <w:pPr>
      <w:spacing w:after="0" w:line="240" w:lineRule="auto"/>
    </w:pPr>
    <w:rPr>
      <w:rFonts w:asciiTheme="minorHAnsi" w:eastAsiaTheme="minorEastAsia"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14A3C"/>
    <w:rPr>
      <w:rFonts w:asciiTheme="majorHAnsi" w:eastAsiaTheme="majorEastAsia" w:hAnsiTheme="majorHAnsi" w:cstheme="majorBidi"/>
      <w:b/>
      <w:bCs/>
      <w:color w:val="5B9BD5" w:themeColor="accent1"/>
      <w:sz w:val="24"/>
      <w:szCs w:val="22"/>
      <w:lang w:val="en-US"/>
    </w:rPr>
  </w:style>
  <w:style w:type="character" w:customStyle="1" w:styleId="Heading2Char">
    <w:name w:val="Heading 2 Char"/>
    <w:basedOn w:val="DefaultParagraphFont"/>
    <w:link w:val="Heading2"/>
    <w:uiPriority w:val="9"/>
    <w:semiHidden/>
    <w:rsid w:val="005D7E5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