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7</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Tỷ lệ và các yếu tố liên quan của triệu chứng trầm cảm và lo âu ở học sinh trung học Trung Quốc » (Prevalence and Associated Factors of Depressive and Anxiety Symptoms among Chinese Secondary School Students), do Zhangming Chen, Silan Ren, Ruini He và cộng sự (2023), thuộc Khoa Tâm thần, Bệnh viện Tương Nhã 2, Đại học Trung Nam, Trung Quốc, khảo sát trên mẫu 63.205 học sinh trung học cơ sở và trung học phổ thông (tuổi trung bình 14,3) tại thành phố Tự Cống, tỉnh Tứ Xuyên, miền Tây Trung Quốc, xuất bản trên BMC Psychiatry, 23:580.</w:t>
      </w:r>
    </w:p>
    <w:p>
      <w:r>
        <w:rPr>
          <w:rFonts w:ascii="Times New Roman" w:hAnsi="Times New Roman"/>
          <w:b/>
          <w:color w:val="FF0000"/>
          <w:sz w:val="24"/>
        </w:rPr>
        <w:t>Phương pháp nghiên cứu</w:t>
      </w:r>
    </w:p>
    <w:p>
      <w:r>
        <w:rPr>
          <w:rFonts w:ascii="Times New Roman" w:hAnsi="Times New Roman"/>
          <w:b/>
          <w:color w:val="0070C0"/>
          <w:sz w:val="24"/>
        </w:rPr>
      </w:r>
      <w:r>
        <w:rPr>
          <w:rFonts w:ascii="Times New Roman" w:hAnsi="Times New Roman"/>
          <w:sz w:val="26"/>
        </w:rPr>
        <w:t xml:space="preserve">Công trình này sử dụng Bảng câu hỏi Sức khỏe Bệnh nhân 9 mục (PHQ-9), Thang đo </w:t>
      </w:r>
      <w:r>
        <w:rPr>
          <w:rFonts w:ascii="Times New Roman" w:hAnsi="Times New Roman"/>
          <w:b/>
          <w:color w:val="C00000"/>
          <w:sz w:val="26"/>
        </w:rPr>
        <w:t>Rối loạn Lo âu Tổng quát</w:t>
      </w:r>
      <w:r>
        <w:rPr>
          <w:rFonts w:ascii="Times New Roman" w:hAnsi="Times New Roman"/>
          <w:sz w:val="26"/>
        </w:rPr>
        <w:t xml:space="preserve"> 7 mục (GAD-7), Thang đo Đa chiều về Nạn nhân Bắt nạt Đồng trang lứa (MPVS), Chỉ số Chất lượng Giấc ngủ Pittsburgh (PSQI) và Thang đo Rối loạn Chơi Game Trực tuyến 9 mục-Rút gọn (IGDS9-SF). Nói cách khác, công trình này sử dụng phương pháp sàng lọc cắt ngang quy mô lớn với hồi quy logistic đa biến và điều chỉnh hiệu ứng cụm.</w:t>
      </w:r>
    </w:p>
    <w:p>
      <w:r>
        <w:rPr>
          <w:rFonts w:ascii="Times New Roman" w:hAnsi="Times New Roman"/>
          <w:b w:val="0"/>
          <w:color w:val="0070C0"/>
          <w:sz w:val="24"/>
        </w:rPr>
        <w:t>PHQ-9 là thang đo 9 mục dựa trên tiêu chí DSM-IV, điểm 0–27, ngưỡng ≥10 cho dương tính trầm cảm (Kroenke và cộng sự, 2001). GAD-7 là thang đo 7 mục, điểm 0–21, ngưỡng ≥10 cho dương tính lo âu (Spitzer và cộng sự, 2006). Cả hai phiên bản tiếng Trung đã được xác thực cho thanh thiếu niên Trung Quốc.</w:t>
      </w:r>
    </w:p>
    <w:p>
      <w:r>
        <w:rPr>
          <w:rFonts w:ascii="Times New Roman" w:hAnsi="Times New Roman"/>
          <w:b w:val="0"/>
          <w:color w:val="0070C0"/>
          <w:sz w:val="24"/>
        </w:rPr>
        <w:t>MPVS (Multidimensional Peer-Victimization Scale) gồm 16 mục đo 4 loại bắt nạt: thể chất, lời nói, thao túng xã hội và tấn công tài sản. PSQI đo chất lượng giấc ngủ, điểm &gt;5 là rối loạn giấc ngủ. IGDS9-SF đo rối loạn chơi game, điểm ≥32 là dương tính.</w:t>
      </w:r>
    </w:p>
    <w:p>
      <w:r>
        <w:rPr>
          <w:rFonts w:ascii="Times New Roman" w:hAnsi="Times New Roman"/>
          <w:b/>
          <w:color w:val="0070C0"/>
          <w:sz w:val="24"/>
        </w:rPr>
        <w:t>Tổng quan tài liệu của chúng tôi cho thấy nghiên cứu tập trung vào miền Tây Trung Quốc còn rất ít — chỉ 9/51 công bố trong phân tích tổng hợp về trầm cảm thanh thiếu niên Trung Quốc liên quan đến miền Tây. Nghiên cứu trước đây cũng chưa đánh giá toàn diện các yếu tố bắt nạt, giấc ngủ và chơi game trực tuyến cùng lúc.</w:t>
      </w:r>
    </w:p>
    <w:p>
      <w:r>
        <w:rPr>
          <w:rFonts w:ascii="Times New Roman" w:hAnsi="Times New Roman"/>
          <w:b w:val="0"/>
          <w:color w:val="0070C0"/>
          <w:sz w:val="24"/>
        </w:rPr>
        <w:t>Dữ liệu bao gồm giới tính, tuổi, giai đoạn học tập (THCS/THPT), nơi cư trú (nông thôn/thành thị), loại hình gia đình (hạt nhân/không hạt nhân), con một, trẻ bị bỏ lại (left-behind), bắt nạt đồng trang lứa (4 loại), chất lượng giấc ngủ (PSQI) và rối loạn chơi game trực tuyến (IGDS9-SF).</w:t>
      </w:r>
    </w:p>
    <w:p>
      <w:r>
        <w:rPr>
          <w:rFonts w:ascii="Times New Roman" w:hAnsi="Times New Roman"/>
          <w:b w:val="0"/>
          <w:color w:val="0070C0"/>
          <w:sz w:val="24"/>
        </w:rPr>
        <w:t>Khảo sát cắt ngang từ tháng 9 đến 12/2020 tại Tự Cống (giai đoạn thuyên giảm COVID-19). Lấy mẫu cụm: chọn 2 quận và 1 huyện, bao gồm tất cả trường trung học trong khu vực. 63.487 học sinh hoàn thành bảng câu hỏi điện tử tại phòng máy tính trường, loại 282 do thiếu dữ liệu (tỷ lệ phản hồi 99,6%). Phân tích bằng R 3.3.3 với gói "survey" để điều chỉnh hiệu ứng cụm và tính tỷ lệ có trọng số. P &lt; 0,001 do cỡ mẫu rất lớn.</w:t>
      </w:r>
    </w:p>
    <w:p>
      <w:r>
        <w:rPr>
          <w:rFonts w:ascii="Times New Roman" w:hAnsi="Times New Roman"/>
          <w:b/>
          <w:color w:val="FF0000"/>
          <w:sz w:val="24"/>
        </w:rPr>
        <w:t>Kết quả nghiên cứu định lượng</w:t>
      </w:r>
    </w:p>
    <w:p>
      <w:r>
        <w:rPr>
          <w:rFonts w:ascii="Times New Roman" w:hAnsi="Times New Roman"/>
          <w:b/>
          <w:color w:val="0070C0"/>
          <w:sz w:val="24"/>
        </w:rPr>
        <w:t>Tỷ lệ có trọng số của triệu chứng trầm cảm và lo âu (N = 63.205):</w:t>
      </w:r>
    </w:p>
    <w:p>
      <w:r>
        <w:rPr>
          <w:b/>
          <w:sz w:val="22"/>
          <w:rFonts w:ascii="Times New Roman" w:hAnsi="Times New Roman"/>
        </w:rPr>
        <w:t>Bảng 1. Tỷ lệ lo âu HS Trung Quốc</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Tình trạng</w:t>
            </w:r>
          </w:p>
        </w:tc>
        <w:tc>
          <w:tcPr>
            <w:tcW w:type="dxa" w:w="3135"/>
            <w:tcW w:w="1984" w:type="dxa"/>
            <w:shd w:fill="D9E2F3" w:val="clear"/>
          </w:tcPr>
          <w:p>
            <w:pPr>
              <w:jc w:val="center"/>
            </w:pPr>
            <w:r>
              <w:rPr>
                <w:rFonts w:ascii="Times New Roman" w:hAnsi="Times New Roman"/>
                <w:b/>
                <w:sz w:val="20"/>
              </w:rPr>
              <w:t>Tỷ lệ có trọng số</w:t>
            </w:r>
          </w:p>
        </w:tc>
        <w:tc>
          <w:tcPr>
            <w:tcW w:type="dxa" w:w="3135"/>
            <w:tcW w:w="1984" w:type="dxa"/>
            <w:shd w:fill="D9E2F3" w:val="clear"/>
          </w:tcPr>
          <w:p>
            <w:pPr>
              <w:jc w:val="center"/>
            </w:pPr>
            <w:r>
              <w:rPr>
                <w:rFonts w:ascii="Times New Roman" w:hAnsi="Times New Roman"/>
                <w:b/>
                <w:sz w:val="20"/>
              </w:rPr>
              <w:t>KTC 95%</w:t>
            </w:r>
          </w:p>
        </w:tc>
      </w:tr>
      <w:tr>
        <w:tc>
          <w:tcPr>
            <w:tcW w:type="dxa" w:w="3135"/>
            <w:tcW w:w="2835" w:type="dxa"/>
          </w:tcPr>
          <w:p>
            <w:r>
              <w:rPr>
                <w:rFonts w:ascii="Times New Roman" w:hAnsi="Times New Roman"/>
                <w:sz w:val="20"/>
              </w:rPr>
              <w:t>Trầm cảm (PHQ-9 ≥10)</w:t>
            </w:r>
          </w:p>
        </w:tc>
        <w:tc>
          <w:tcPr>
            <w:tcW w:type="dxa" w:w="3135"/>
            <w:tcW w:w="1984" w:type="dxa"/>
          </w:tcPr>
          <w:p>
            <w:r>
              <w:rPr>
                <w:rFonts w:ascii="Times New Roman" w:hAnsi="Times New Roman"/>
                <w:sz w:val="20"/>
              </w:rPr>
              <w:t>23,0%</w:t>
            </w:r>
          </w:p>
        </w:tc>
        <w:tc>
          <w:tcPr>
            <w:tcW w:type="dxa" w:w="3135"/>
            <w:tcW w:w="1984" w:type="dxa"/>
          </w:tcPr>
          <w:p>
            <w:r>
              <w:rPr>
                <w:rFonts w:ascii="Times New Roman" w:hAnsi="Times New Roman"/>
                <w:sz w:val="20"/>
              </w:rPr>
              <w:t>19,6–27,0%</w:t>
            </w:r>
          </w:p>
        </w:tc>
      </w:tr>
      <w:tr>
        <w:tc>
          <w:tcPr>
            <w:tcW w:type="dxa" w:w="3135"/>
            <w:tcW w:w="2835" w:type="dxa"/>
          </w:tcPr>
          <w:p>
            <w:r>
              <w:rPr>
                <w:rFonts w:ascii="Times New Roman" w:hAnsi="Times New Roman"/>
                <w:sz w:val="20"/>
              </w:rPr>
              <w:t>Lo âu (GAD-7 ≥10)</w:t>
            </w:r>
          </w:p>
        </w:tc>
        <w:tc>
          <w:tcPr>
            <w:tcW w:type="dxa" w:w="3135"/>
            <w:tcW w:w="1984" w:type="dxa"/>
          </w:tcPr>
          <w:p>
            <w:r>
              <w:rPr>
                <w:rFonts w:ascii="Times New Roman" w:hAnsi="Times New Roman"/>
                <w:sz w:val="20"/>
              </w:rPr>
              <w:t>13,9%</w:t>
            </w:r>
          </w:p>
        </w:tc>
        <w:tc>
          <w:tcPr>
            <w:tcW w:type="dxa" w:w="3135"/>
            <w:tcW w:w="1984" w:type="dxa"/>
          </w:tcPr>
          <w:p>
            <w:r>
              <w:rPr>
                <w:rFonts w:ascii="Times New Roman" w:hAnsi="Times New Roman"/>
                <w:sz w:val="20"/>
              </w:rPr>
              <w:t>11,2–17,0%</w:t>
            </w:r>
          </w:p>
        </w:tc>
      </w:tr>
      <w:tr>
        <w:tc>
          <w:tcPr>
            <w:tcW w:type="dxa" w:w="3135"/>
            <w:tcW w:w="2835" w:type="dxa"/>
          </w:tcPr>
          <w:p>
            <w:r>
              <w:rPr>
                <w:rFonts w:ascii="Times New Roman" w:hAnsi="Times New Roman"/>
                <w:sz w:val="20"/>
              </w:rPr>
              <w:t>Đồng mắc cả hai</w:t>
            </w:r>
          </w:p>
        </w:tc>
        <w:tc>
          <w:tcPr>
            <w:tcW w:type="dxa" w:w="3135"/>
            <w:tcW w:w="1984" w:type="dxa"/>
          </w:tcPr>
          <w:p>
            <w:r>
              <w:rPr>
                <w:rFonts w:ascii="Times New Roman" w:hAnsi="Times New Roman"/>
                <w:sz w:val="20"/>
              </w:rPr>
              <w:t>11,5%</w:t>
            </w:r>
          </w:p>
        </w:tc>
        <w:tc>
          <w:tcPr>
            <w:tcW w:type="dxa" w:w="3135"/>
            <w:tcW w:w="1984" w:type="dxa"/>
          </w:tcPr>
          <w:p>
            <w:r>
              <w:rPr>
                <w:rFonts w:ascii="Times New Roman" w:hAnsi="Times New Roman"/>
                <w:sz w:val="20"/>
              </w:rPr>
              <w:t>9,0–15,0%</w:t>
            </w:r>
          </w:p>
        </w:tc>
      </w:tr>
      <w:tr>
        <w:tc>
          <w:tcPr>
            <w:tcW w:type="dxa" w:w="3135"/>
            <w:tcW w:w="2835" w:type="dxa"/>
          </w:tcPr>
          <w:p>
            <w:r>
              <w:rPr>
                <w:rFonts w:ascii="Times New Roman" w:hAnsi="Times New Roman"/>
                <w:sz w:val="20"/>
              </w:rPr>
              <w:t>Trầm cảm hoặc lo âu</w:t>
            </w:r>
          </w:p>
        </w:tc>
        <w:tc>
          <w:tcPr>
            <w:tcW w:type="dxa" w:w="3135"/>
            <w:tcW w:w="1984" w:type="dxa"/>
          </w:tcPr>
          <w:p>
            <w:r>
              <w:rPr>
                <w:rFonts w:ascii="Times New Roman" w:hAnsi="Times New Roman"/>
                <w:sz w:val="20"/>
              </w:rPr>
              <w:t>25,5%</w:t>
            </w:r>
          </w:p>
        </w:tc>
        <w:tc>
          <w:tcPr>
            <w:tcW w:type="dxa" w:w="3135"/>
            <w:tcW w:w="1984" w:type="dxa"/>
          </w:tcPr>
          <w:p>
            <w:r>
              <w:rPr>
                <w:rFonts w:ascii="Times New Roman" w:hAnsi="Times New Roman"/>
                <w:sz w:val="20"/>
              </w:rPr>
              <w:t>21,8–30,0%</w:t>
            </w:r>
          </w:p>
        </w:tc>
      </w:tr>
    </w:tbl>
    <w:p/>
    <w:p>
      <w:r>
        <w:rPr>
          <w:rFonts w:ascii="Times New Roman" w:hAnsi="Times New Roman"/>
          <w:b/>
          <w:color w:val="0070C0"/>
          <w:sz w:val="24"/>
        </w:rPr>
        <w:t>Yếu tố liên quan độc lập (hồi quy logistic đa biến):</w:t>
      </w:r>
    </w:p>
    <w:p>
      <w:r>
        <w:rPr>
          <w:b/>
          <w:sz w:val="22"/>
          <w:rFonts w:ascii="Times New Roman" w:hAnsi="Times New Roman"/>
        </w:rPr>
        <w:t>Bảng 2. Yếu tố liên quan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Yếu tố</w:t>
            </w:r>
          </w:p>
        </w:tc>
        <w:tc>
          <w:tcPr>
            <w:tcW w:type="dxa" w:w="2351"/>
            <w:tcW w:w="1417" w:type="dxa"/>
            <w:shd w:fill="D9E2F3" w:val="clear"/>
          </w:tcPr>
          <w:p>
            <w:pPr>
              <w:jc w:val="center"/>
            </w:pPr>
            <w:r>
              <w:rPr>
                <w:rFonts w:ascii="Times New Roman" w:hAnsi="Times New Roman"/>
                <w:b/>
                <w:sz w:val="20"/>
              </w:rPr>
              <w:t>OR đa biến</w:t>
            </w:r>
          </w:p>
        </w:tc>
        <w:tc>
          <w:tcPr>
            <w:tcW w:type="dxa" w:w="2351"/>
            <w:tcW w:w="1701" w:type="dxa"/>
            <w:shd w:fill="D9E2F3" w:val="clear"/>
          </w:tcPr>
          <w:p>
            <w:pPr>
              <w:jc w:val="center"/>
            </w:pPr>
            <w:r>
              <w:rPr>
                <w:rFonts w:ascii="Times New Roman" w:hAnsi="Times New Roman"/>
                <w:b/>
                <w:sz w:val="20"/>
              </w:rPr>
              <w:t>KTC 95%</w:t>
            </w:r>
          </w:p>
        </w:tc>
        <w:tc>
          <w:tcPr>
            <w:tcW w:type="dxa" w:w="2351"/>
            <w:tcW w:w="1417" w:type="dxa"/>
            <w:shd w:fill="D9E2F3" w:val="clear"/>
          </w:tcPr>
          <w:p>
            <w:pPr>
              <w:jc w:val="center"/>
            </w:pPr>
            <w:r>
              <w:rPr>
                <w:rFonts w:ascii="Times New Roman" w:hAnsi="Times New Roman"/>
                <w:b/>
                <w:sz w:val="20"/>
              </w:rPr>
              <w:t>Mức liên quan</w:t>
            </w:r>
          </w:p>
        </w:tc>
      </w:tr>
      <w:tr>
        <w:tc>
          <w:tcPr>
            <w:tcW w:type="dxa" w:w="2351"/>
            <w:tcW w:w="2551" w:type="dxa"/>
          </w:tcPr>
          <w:p>
            <w:r>
              <w:rPr>
                <w:rFonts w:ascii="Times New Roman" w:hAnsi="Times New Roman"/>
                <w:sz w:val="20"/>
              </w:rPr>
              <w:t>Rối loạn giấc ngủ (PSQI &gt;5)</w:t>
            </w:r>
          </w:p>
        </w:tc>
        <w:tc>
          <w:tcPr>
            <w:tcW w:type="dxa" w:w="2351"/>
            <w:tcW w:w="1417" w:type="dxa"/>
          </w:tcPr>
          <w:p>
            <w:r>
              <w:rPr>
                <w:rFonts w:ascii="Times New Roman" w:hAnsi="Times New Roman"/>
                <w:sz w:val="20"/>
              </w:rPr>
              <w:t>6,99</w:t>
            </w:r>
          </w:p>
        </w:tc>
        <w:tc>
          <w:tcPr>
            <w:tcW w:type="dxa" w:w="2351"/>
            <w:tcW w:w="1701" w:type="dxa"/>
          </w:tcPr>
          <w:p>
            <w:r>
              <w:rPr>
                <w:rFonts w:ascii="Times New Roman" w:hAnsi="Times New Roman"/>
                <w:sz w:val="20"/>
              </w:rPr>
              <w:t>6,69–7,30</w:t>
            </w:r>
          </w:p>
        </w:tc>
        <w:tc>
          <w:tcPr>
            <w:tcW w:type="dxa" w:w="2351"/>
            <w:tcW w:w="1417" w:type="dxa"/>
          </w:tcPr>
          <w:p>
            <w:r>
              <w:rPr>
                <w:rFonts w:ascii="Times New Roman" w:hAnsi="Times New Roman"/>
                <w:sz w:val="20"/>
              </w:rPr>
              <w:t>Mạnh</w:t>
            </w:r>
          </w:p>
        </w:tc>
      </w:tr>
      <w:tr>
        <w:tc>
          <w:tcPr>
            <w:tcW w:type="dxa" w:w="2351"/>
            <w:tcW w:w="2551" w:type="dxa"/>
          </w:tcPr>
          <w:p>
            <w:r>
              <w:rPr>
                <w:rFonts w:ascii="Times New Roman" w:hAnsi="Times New Roman"/>
                <w:sz w:val="20"/>
              </w:rPr>
              <w:t>Rối loạn chơi game (IGD)</w:t>
            </w:r>
          </w:p>
        </w:tc>
        <w:tc>
          <w:tcPr>
            <w:tcW w:type="dxa" w:w="2351"/>
            <w:tcW w:w="1417" w:type="dxa"/>
          </w:tcPr>
          <w:p>
            <w:r>
              <w:rPr>
                <w:rFonts w:ascii="Times New Roman" w:hAnsi="Times New Roman"/>
                <w:sz w:val="20"/>
              </w:rPr>
              <w:t>5,00</w:t>
            </w:r>
          </w:p>
        </w:tc>
        <w:tc>
          <w:tcPr>
            <w:tcW w:type="dxa" w:w="2351"/>
            <w:tcW w:w="1701" w:type="dxa"/>
          </w:tcPr>
          <w:p>
            <w:r>
              <w:rPr>
                <w:rFonts w:ascii="Times New Roman" w:hAnsi="Times New Roman"/>
                <w:sz w:val="20"/>
              </w:rPr>
              <w:t>4,42–5,66</w:t>
            </w:r>
          </w:p>
        </w:tc>
        <w:tc>
          <w:tcPr>
            <w:tcW w:type="dxa" w:w="2351"/>
            <w:tcW w:w="1417" w:type="dxa"/>
          </w:tcPr>
          <w:p>
            <w:r>
              <w:rPr>
                <w:rFonts w:ascii="Times New Roman" w:hAnsi="Times New Roman"/>
                <w:sz w:val="20"/>
              </w:rPr>
              <w:t>Mạnh</w:t>
            </w:r>
          </w:p>
        </w:tc>
      </w:tr>
      <w:tr>
        <w:tc>
          <w:tcPr>
            <w:tcW w:type="dxa" w:w="2351"/>
            <w:tcW w:w="2551" w:type="dxa"/>
          </w:tcPr>
          <w:p>
            <w:r>
              <w:rPr>
                <w:rFonts w:ascii="Times New Roman" w:hAnsi="Times New Roman"/>
                <w:sz w:val="20"/>
              </w:rPr>
              <w:t>Thao túng xã hội</w:t>
            </w:r>
          </w:p>
        </w:tc>
        <w:tc>
          <w:tcPr>
            <w:tcW w:type="dxa" w:w="2351"/>
            <w:tcW w:w="1417" w:type="dxa"/>
          </w:tcPr>
          <w:p>
            <w:r>
              <w:rPr>
                <w:rFonts w:ascii="Times New Roman" w:hAnsi="Times New Roman"/>
                <w:sz w:val="20"/>
              </w:rPr>
              <w:t>1,97</w:t>
            </w:r>
          </w:p>
        </w:tc>
        <w:tc>
          <w:tcPr>
            <w:tcW w:type="dxa" w:w="2351"/>
            <w:tcW w:w="1701" w:type="dxa"/>
          </w:tcPr>
          <w:p>
            <w:r>
              <w:rPr>
                <w:rFonts w:ascii="Times New Roman" w:hAnsi="Times New Roman"/>
                <w:sz w:val="20"/>
              </w:rPr>
              <w:t>1,87–2,08</w:t>
            </w:r>
          </w:p>
        </w:tc>
        <w:tc>
          <w:tcPr>
            <w:tcW w:type="dxa" w:w="2351"/>
            <w:tcW w:w="1417" w:type="dxa"/>
          </w:tcPr>
          <w:p>
            <w:r>
              <w:rPr>
                <w:rFonts w:ascii="Times New Roman" w:hAnsi="Times New Roman"/>
                <w:sz w:val="20"/>
              </w:rPr>
              <w:t>Trung bình</w:t>
            </w:r>
          </w:p>
        </w:tc>
      </w:tr>
      <w:tr>
        <w:tc>
          <w:tcPr>
            <w:tcW w:type="dxa" w:w="2351"/>
            <w:tcW w:w="2551" w:type="dxa"/>
          </w:tcPr>
          <w:p>
            <w:r>
              <w:rPr>
                <w:rFonts w:ascii="Times New Roman" w:hAnsi="Times New Roman"/>
                <w:sz w:val="20"/>
              </w:rPr>
              <w:t>Bắt nạt lời nói</w:t>
            </w:r>
          </w:p>
        </w:tc>
        <w:tc>
          <w:tcPr>
            <w:tcW w:type="dxa" w:w="2351"/>
            <w:tcW w:w="1417" w:type="dxa"/>
          </w:tcPr>
          <w:p>
            <w:r>
              <w:rPr>
                <w:rFonts w:ascii="Times New Roman" w:hAnsi="Times New Roman"/>
                <w:sz w:val="20"/>
              </w:rPr>
              <w:t>1,70</w:t>
            </w:r>
          </w:p>
        </w:tc>
        <w:tc>
          <w:tcPr>
            <w:tcW w:type="dxa" w:w="2351"/>
            <w:tcW w:w="1701" w:type="dxa"/>
          </w:tcPr>
          <w:p>
            <w:r>
              <w:rPr>
                <w:rFonts w:ascii="Times New Roman" w:hAnsi="Times New Roman"/>
                <w:sz w:val="20"/>
              </w:rPr>
              <w:t>1,60–1,80</w:t>
            </w:r>
          </w:p>
        </w:tc>
        <w:tc>
          <w:tcPr>
            <w:tcW w:type="dxa" w:w="2351"/>
            <w:tcW w:w="1417" w:type="dxa"/>
          </w:tcPr>
          <w:p>
            <w:r>
              <w:rPr>
                <w:rFonts w:ascii="Times New Roman" w:hAnsi="Times New Roman"/>
                <w:sz w:val="20"/>
              </w:rPr>
              <w:t>Trung bình</w:t>
            </w:r>
          </w:p>
        </w:tc>
      </w:tr>
      <w:tr>
        <w:tc>
          <w:tcPr>
            <w:tcW w:type="dxa" w:w="2351"/>
            <w:tcW w:w="2551" w:type="dxa"/>
          </w:tcPr>
          <w:p>
            <w:r>
              <w:rPr>
                <w:rFonts w:ascii="Times New Roman" w:hAnsi="Times New Roman"/>
                <w:sz w:val="20"/>
              </w:rPr>
              <w:t>Giới tính nữ</w:t>
            </w:r>
          </w:p>
        </w:tc>
        <w:tc>
          <w:tcPr>
            <w:tcW w:type="dxa" w:w="2351"/>
            <w:tcW w:w="1417" w:type="dxa"/>
          </w:tcPr>
          <w:p>
            <w:r>
              <w:rPr>
                <w:rFonts w:ascii="Times New Roman" w:hAnsi="Times New Roman"/>
                <w:sz w:val="20"/>
              </w:rPr>
              <w:t>1,55</w:t>
            </w:r>
          </w:p>
        </w:tc>
        <w:tc>
          <w:tcPr>
            <w:tcW w:type="dxa" w:w="2351"/>
            <w:tcW w:w="1701" w:type="dxa"/>
          </w:tcPr>
          <w:p>
            <w:r>
              <w:rPr>
                <w:rFonts w:ascii="Times New Roman" w:hAnsi="Times New Roman"/>
                <w:sz w:val="20"/>
              </w:rPr>
              <w:t>1,49–1,62</w:t>
            </w:r>
          </w:p>
        </w:tc>
        <w:tc>
          <w:tcPr>
            <w:tcW w:type="dxa" w:w="2351"/>
            <w:tcW w:w="1417" w:type="dxa"/>
          </w:tcPr>
          <w:p>
            <w:r>
              <w:rPr>
                <w:rFonts w:ascii="Times New Roman" w:hAnsi="Times New Roman"/>
                <w:sz w:val="20"/>
              </w:rPr>
              <w:t>Trung bình</w:t>
            </w:r>
          </w:p>
        </w:tc>
      </w:tr>
      <w:tr>
        <w:tc>
          <w:tcPr>
            <w:tcW w:type="dxa" w:w="2351"/>
            <w:tcW w:w="2551" w:type="dxa"/>
          </w:tcPr>
          <w:p>
            <w:r>
              <w:rPr>
                <w:rFonts w:ascii="Times New Roman" w:hAnsi="Times New Roman"/>
                <w:sz w:val="20"/>
              </w:rPr>
              <w:t>Bắt nạt thể chất</w:t>
            </w:r>
          </w:p>
        </w:tc>
        <w:tc>
          <w:tcPr>
            <w:tcW w:type="dxa" w:w="2351"/>
            <w:tcW w:w="1417" w:type="dxa"/>
          </w:tcPr>
          <w:p>
            <w:r>
              <w:rPr>
                <w:rFonts w:ascii="Times New Roman" w:hAnsi="Times New Roman"/>
                <w:sz w:val="20"/>
              </w:rPr>
              <w:t>1,51</w:t>
            </w:r>
          </w:p>
        </w:tc>
        <w:tc>
          <w:tcPr>
            <w:tcW w:type="dxa" w:w="2351"/>
            <w:tcW w:w="1701" w:type="dxa"/>
          </w:tcPr>
          <w:p>
            <w:r>
              <w:rPr>
                <w:rFonts w:ascii="Times New Roman" w:hAnsi="Times New Roman"/>
                <w:sz w:val="20"/>
              </w:rPr>
              <w:t>1,44–1,59</w:t>
            </w:r>
          </w:p>
        </w:tc>
        <w:tc>
          <w:tcPr>
            <w:tcW w:type="dxa" w:w="2351"/>
            <w:tcW w:w="1417" w:type="dxa"/>
          </w:tcPr>
          <w:p>
            <w:r>
              <w:rPr>
                <w:rFonts w:ascii="Times New Roman" w:hAnsi="Times New Roman"/>
                <w:sz w:val="20"/>
              </w:rPr>
              <w:t>Trung bình</w:t>
            </w:r>
          </w:p>
        </w:tc>
      </w:tr>
      <w:tr>
        <w:tc>
          <w:tcPr>
            <w:tcW w:type="dxa" w:w="2351"/>
            <w:tcW w:w="2551" w:type="dxa"/>
          </w:tcPr>
          <w:p>
            <w:r>
              <w:rPr>
                <w:rFonts w:ascii="Times New Roman" w:hAnsi="Times New Roman"/>
                <w:sz w:val="20"/>
              </w:rPr>
              <w:t>Gia đình không hạt nhân</w:t>
            </w:r>
          </w:p>
        </w:tc>
        <w:tc>
          <w:tcPr>
            <w:tcW w:type="dxa" w:w="2351"/>
            <w:tcW w:w="1417" w:type="dxa"/>
          </w:tcPr>
          <w:p>
            <w:r>
              <w:rPr>
                <w:rFonts w:ascii="Times New Roman" w:hAnsi="Times New Roman"/>
                <w:sz w:val="20"/>
              </w:rPr>
              <w:t>1,31</w:t>
            </w:r>
          </w:p>
        </w:tc>
        <w:tc>
          <w:tcPr>
            <w:tcW w:type="dxa" w:w="2351"/>
            <w:tcW w:w="1701" w:type="dxa"/>
          </w:tcPr>
          <w:p>
            <w:r>
              <w:rPr>
                <w:rFonts w:ascii="Times New Roman" w:hAnsi="Times New Roman"/>
                <w:sz w:val="20"/>
              </w:rPr>
              <w:t>1,25–1,38</w:t>
            </w:r>
          </w:p>
        </w:tc>
        <w:tc>
          <w:tcPr>
            <w:tcW w:type="dxa" w:w="2351"/>
            <w:tcW w:w="1417" w:type="dxa"/>
          </w:tcPr>
          <w:p>
            <w:r>
              <w:rPr>
                <w:rFonts w:ascii="Times New Roman" w:hAnsi="Times New Roman"/>
                <w:sz w:val="20"/>
              </w:rPr>
              <w:t>Yếu</w:t>
            </w:r>
          </w:p>
        </w:tc>
      </w:tr>
      <w:tr>
        <w:tc>
          <w:tcPr>
            <w:tcW w:type="dxa" w:w="2351"/>
            <w:tcW w:w="2551" w:type="dxa"/>
          </w:tcPr>
          <w:p>
            <w:r>
              <w:rPr>
                <w:rFonts w:ascii="Times New Roman" w:hAnsi="Times New Roman"/>
                <w:sz w:val="20"/>
              </w:rPr>
              <w:t>Tấn công tài sản</w:t>
            </w:r>
          </w:p>
        </w:tc>
        <w:tc>
          <w:tcPr>
            <w:tcW w:type="dxa" w:w="2351"/>
            <w:tcW w:w="1417" w:type="dxa"/>
          </w:tcPr>
          <w:p>
            <w:r>
              <w:rPr>
                <w:rFonts w:ascii="Times New Roman" w:hAnsi="Times New Roman"/>
                <w:sz w:val="20"/>
              </w:rPr>
              <w:t>1,25</w:t>
            </w:r>
          </w:p>
        </w:tc>
        <w:tc>
          <w:tcPr>
            <w:tcW w:type="dxa" w:w="2351"/>
            <w:tcW w:w="1701" w:type="dxa"/>
          </w:tcPr>
          <w:p>
            <w:r>
              <w:rPr>
                <w:rFonts w:ascii="Times New Roman" w:hAnsi="Times New Roman"/>
                <w:sz w:val="20"/>
              </w:rPr>
              <w:t>1,18–1,33</w:t>
            </w:r>
          </w:p>
        </w:tc>
        <w:tc>
          <w:tcPr>
            <w:tcW w:type="dxa" w:w="2351"/>
            <w:tcW w:w="1417" w:type="dxa"/>
          </w:tcPr>
          <w:p>
            <w:r>
              <w:rPr>
                <w:rFonts w:ascii="Times New Roman" w:hAnsi="Times New Roman"/>
                <w:sz w:val="20"/>
              </w:rPr>
              <w:t>Yếu</w:t>
            </w:r>
          </w:p>
        </w:tc>
      </w:tr>
      <w:tr>
        <w:tc>
          <w:tcPr>
            <w:tcW w:type="dxa" w:w="2351"/>
            <w:tcW w:w="2551" w:type="dxa"/>
          </w:tcPr>
          <w:p>
            <w:r>
              <w:rPr>
                <w:rFonts w:ascii="Times New Roman" w:hAnsi="Times New Roman"/>
                <w:sz w:val="20"/>
              </w:rPr>
              <w:t>Sống thành thị</w:t>
            </w:r>
          </w:p>
        </w:tc>
        <w:tc>
          <w:tcPr>
            <w:tcW w:type="dxa" w:w="2351"/>
            <w:tcW w:w="1417" w:type="dxa"/>
          </w:tcPr>
          <w:p>
            <w:r>
              <w:rPr>
                <w:rFonts w:ascii="Times New Roman" w:hAnsi="Times New Roman"/>
                <w:sz w:val="20"/>
              </w:rPr>
              <w:t>1,11</w:t>
            </w:r>
          </w:p>
        </w:tc>
        <w:tc>
          <w:tcPr>
            <w:tcW w:type="dxa" w:w="2351"/>
            <w:tcW w:w="1701" w:type="dxa"/>
          </w:tcPr>
          <w:p>
            <w:r>
              <w:rPr>
                <w:rFonts w:ascii="Times New Roman" w:hAnsi="Times New Roman"/>
                <w:sz w:val="20"/>
              </w:rPr>
              <w:t>1,06–1,17</w:t>
            </w:r>
          </w:p>
        </w:tc>
        <w:tc>
          <w:tcPr>
            <w:tcW w:type="dxa" w:w="2351"/>
            <w:tcW w:w="1417" w:type="dxa"/>
          </w:tcPr>
          <w:p>
            <w:r>
              <w:rPr>
                <w:rFonts w:ascii="Times New Roman" w:hAnsi="Times New Roman"/>
                <w:sz w:val="20"/>
              </w:rPr>
              <w:t>Yếu</w:t>
            </w:r>
          </w:p>
        </w:tc>
      </w:tr>
      <w:tr>
        <w:tc>
          <w:tcPr>
            <w:tcW w:type="dxa" w:w="2351"/>
            <w:tcW w:w="2551" w:type="dxa"/>
          </w:tcPr>
          <w:p>
            <w:r>
              <w:rPr>
                <w:rFonts w:ascii="Times New Roman" w:hAnsi="Times New Roman"/>
                <w:sz w:val="20"/>
              </w:rPr>
              <w:t>Con một</w:t>
            </w:r>
          </w:p>
        </w:tc>
        <w:tc>
          <w:tcPr>
            <w:tcW w:type="dxa" w:w="2351"/>
            <w:tcW w:w="1417" w:type="dxa"/>
          </w:tcPr>
          <w:p>
            <w:r>
              <w:rPr>
                <w:rFonts w:ascii="Times New Roman" w:hAnsi="Times New Roman"/>
                <w:sz w:val="20"/>
              </w:rPr>
              <w:t>1,06</w:t>
            </w:r>
          </w:p>
        </w:tc>
        <w:tc>
          <w:tcPr>
            <w:tcW w:type="dxa" w:w="2351"/>
            <w:tcW w:w="1701" w:type="dxa"/>
          </w:tcPr>
          <w:p>
            <w:r>
              <w:rPr>
                <w:rFonts w:ascii="Times New Roman" w:hAnsi="Times New Roman"/>
                <w:sz w:val="20"/>
              </w:rPr>
              <w:t>1,01–1,12</w:t>
            </w:r>
          </w:p>
        </w:tc>
        <w:tc>
          <w:tcPr>
            <w:tcW w:type="dxa" w:w="2351"/>
            <w:tcW w:w="1417" w:type="dxa"/>
          </w:tcPr>
          <w:p>
            <w:r>
              <w:rPr>
                <w:rFonts w:ascii="Times New Roman" w:hAnsi="Times New Roman"/>
                <w:sz w:val="20"/>
              </w:rPr>
              <w:t>Yếu</w:t>
            </w:r>
          </w:p>
        </w:tc>
      </w:tr>
    </w:tbl>
    <w:p/>
    <w:p>
      <w:pPr>
        <w:pStyle w:val="Heading3"/>
      </w:pPr>
      <w:r>
        <w:rPr>
          <w:rFonts w:ascii="Times New Roman" w:hAnsi="Times New Roman"/>
          <w:color w:val="0070C0"/>
        </w:rPr>
        <w:t>Khác biệt giới tính : Nữ giới luôn được báo cáo có nguy cơ trầm cảm và lo âu cao hơn nam giới (Salk và cộng sự, 2017). Thực tế, phân tích tổng hợp thanh thiếu niên Trung Quốc xác nhận xu hướng này. Chúng tôi xác nhận trong mẫu 63.205 học sinh rằng nữ chiếm 58% nhóm căng thẳng so với 48% nhóm không căng thẳng (OR = 1,55, P &lt; 0,001). Đáng chú ý, rối loạn giấc ngủ (OR = 6,99) và rối loạn chơi game (OR = 5,00) là hai yếu tố mạnh nhất — vượt trội hơn mọi yếu tố nhân khẩu học.</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vai trò trung tâm của giấc ngủ, game và bắt nạt</w:t>
      </w:r>
    </w:p>
    <w:p>
      <w:r>
        <w:rPr>
          <w:rFonts w:ascii="Times New Roman" w:hAnsi="Times New Roman"/>
          <w:b w:val="0"/>
          <w:color w:val="0070C0"/>
          <w:sz w:val="24"/>
        </w:rPr>
        <w:t>*Rối loạn giấc ngủ — yếu tố nguy cơ mạnh nhất.* Nổi bật nhất là rối loạn giấc ngủ (PSQI &gt;5) có OR = 6,99 — yếu tố nguy cơ mạnh nhất trong tất cả các biến. 66% học sinh có căng thẳng tâm thần có rối loạn giấc ngủ, so với 17% nhóm không căng thẳng. Phát hiện này tương tự Zhu và cộng sự (2025): ngủ &lt;5 giờ có AOR = 13,71 cho trầm cảm tại Trung Quốc. Giấc ngủ là yếu tố bảo vệ có thể can thiệp được.</w:t>
      </w:r>
    </w:p>
    <w:p>
      <w:r>
        <w:rPr>
          <w:rFonts w:ascii="Times New Roman" w:hAnsi="Times New Roman"/>
          <w:b w:val="0"/>
          <w:color w:val="0070C0"/>
          <w:sz w:val="24"/>
        </w:rPr>
        <w:t>*Rối loạn chơi game trực tuyến.* IGD (IGDS9-SF ≥32) có OR = 5,00 — yếu tố nguy cơ mạnh thứ hai. 8,3% học sinh căng thẳng có triệu chứng IGD so với 1,0% nhóm không căng thẳng. Đây là bằng chứng mạnh cho mối quan hệ giữa chơi game gây nghiện và sức khỏe tâm thần, tương tự phát hiện của Saikia và cộng sự (2023) về game tại Ấn Độ.</w:t>
      </w:r>
    </w:p>
    <w:p>
      <w:r>
        <w:rPr>
          <w:rFonts w:ascii="Times New Roman" w:hAnsi="Times New Roman"/>
          <w:b w:val="0"/>
          <w:color w:val="0070C0"/>
          <w:sz w:val="24"/>
        </w:rPr>
        <w:t>*Bắt nạt đồng trang lứa — 4 loại.* Tất cả 4 loại bắt nạt đều liên quan có ý nghĩa, nhưng thao túng xã hội (OR = 1,97) và bắt nạt lời nói (OR = 1,70) mạnh hơn bắt nạt thể chất (OR = 1,51) và tấn công tài sản (OR = 1,25). Phân tích chi tiết theo loại bắt nạt là điểm mạnh phương pháp luận, ít nghiên cứu nào thực hiện.</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trầm cảm 23,0% và lo âu 13,9% ở 63.205 học sinh trung học miền Tây Trung Quốc — cỡ mẫu lớn nhất trong số 11 bài nghiên cứu, gợi ý rằng giấc ngủ và chơi game là hai mục tiêu can thiệp ưu tiên (OR = 6,99 và 5,00). Bắt nạt học đường, đặc biệt thao túng xã hội và bắt nạt lời nói, cũng đóng vai trò quan trọng. Trong bối cảnh miền Tây Trung Quốc — nơi điều kiện kinh tế kém hơn miền Đông, chiến lược can thiệp cần tập trung vào cải thiện giấc ngủ, kiểm soát chơi game, và xây dựng môi trường trường học an toàn.</w:t>
      </w:r>
    </w:p>
    <w:p>
      <w:pPr>
        <w:pStyle w:val="Heading2"/>
      </w:pPr>
      <w:r>
        <w:rPr>
          <w:rFonts w:ascii="Times New Roman" w:hAnsi="Times New Roman"/>
          <w:color w:val="FF0000"/>
        </w:rPr>
        <w:t>Phản biện</w:t>
      </w:r>
    </w:p>
    <w:p>
      <w:r>
        <w:rPr>
          <w:rFonts w:ascii="Times New Roman" w:hAnsi="Times New Roman"/>
          <w:b w:val="0"/>
          <w:color w:val="0070C0"/>
          <w:sz w:val="24"/>
        </w:rPr>
        <w:t>Điểm mạnh nổi bật: cỡ mẫu cực lớn (63.205), tỷ lệ phản hồi 99,6%, BMC Psychiatry Q1 (PubMed/Scopus-indexed), sử dụng 5 công cụ đã xác thực, hồi quy logistic đa biến với điều chỉnh hiệu ứng cụm, phân tích phân nhóm THCS/THPT. Tuy nhiên, thiết kế cắt ngang không cho phép suy luận nhân quả — rối loạn giấc ngủ có thể là hậu quả chứ không chỉ là nguyên nhân của trầm cảm/lo âu. Dữ liệu thu thập trong giai đoạn thuyên giảm COVID-19 (T9-12/2020) có thể bị ảnh hưởng bởi hiệu ứng hậu đại dịch. Sử dụng ngưỡng cắt ≥10 cho PHQ-9 và GAD-7 (trung bình-nặng) cho kết quả bảo thủ hơn so với ngưỡng ≥5 — điều này giải thích tỷ lệ thấp hơn so với các nghiên cứu khác.</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Nghiên cứu dọc để xác định chiều hướng nhân quả giữa rối loạn giấc ngủ, chơi game và trầm cảm/lo âu. Nghiên cứu can thiệp cải thiện giấc ngủ (vệ sinh giấc ngủ) và kiểm soát thời gian chơi game tại trường. Mở rộng đến các vùng khác của miền Tây Trung Quốc để đánh giá tính khái quát. So sánh kết quả với miền Đông Trung Quốc (kinh tế phát triển hơn) để đánh giá ảnh hưởng kinh tế xã hội.</w:t>
      </w:r>
    </w:p>
    <w:p/>
    <w:p>
      <w:r>
        <w:rPr>
          <w:rFonts w:ascii="Times New Roman" w:hAnsi="Times New Roman"/>
          <w:b/>
          <w:sz w:val="24"/>
        </w:rPr>
        <w:t>Đánh giá chất lượng: ⭐⭐⭐⭐⭐ Rất cao. Cỡ mẫu 63.205, BMC Psychiatry Q1, 5 công cụ xác thực, hồi quy đa biến có điều chỉnh cụm, phân tích phân nhóm.</w:t>
      </w:r>
    </w:p>
    <w:sectPr>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