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rFonts w:ascii="Times New Roman" w:hAnsi="Times New Roman"/>
          <w:b/>
          <w:sz w:val="24"/>
        </w:rPr>
        <w:t>TÓM TẮT BÀI QT029 (BẢN SỬA LỖI — 07/06/2026)</w:t>
      </w:r>
    </w:p>
    <w:p>
      <w:pPr>
        <w:spacing w:line="360" w:lineRule="auto"/>
      </w:pPr>
      <w:r>
        <w:rPr>
          <w:rFonts w:ascii="Times New Roman" w:hAnsi="Times New Roman"/>
          <w:b/>
          <w:sz w:val="24"/>
        </w:rPr>
        <w:t>Tên công trình, tác giả, năm</w:t>
      </w:r>
    </w:p>
    <w:p>
      <w:pPr>
        <w:spacing w:line="360" w:lineRule="auto"/>
      </w:pPr>
      <w:r>
        <w:rPr>
          <w:rFonts w:ascii="Times New Roman" w:hAnsi="Times New Roman"/>
          <w:sz w:val="24"/>
        </w:rPr>
        <w:t>Công trình « Hiệu quả của các can thiệp khác nhau đối với rối loạn lo âu ở trẻ em và thanh thiếu niên: tổng quan hệ thống và phân tích tổng hợp mạng Bayes » (Effects of different interventions on anxiety disorders in children and adolescents: a systematic review and bayesian network meta-analysis).</w:t>
      </w:r>
    </w:p>
    <w:p>
      <w:pPr>
        <w:spacing w:line="360" w:lineRule="auto"/>
      </w:pPr>
      <w:r>
        <w:rPr>
          <w:rFonts w:ascii="Times New Roman" w:hAnsi="Times New Roman"/>
          <w:sz w:val="24"/>
        </w:rPr>
        <w:t>Tác giả: Longhui Li, Qiner Li, Jingyi Wang, Quan Fu (đồng tác giả liên hệ, Capital University of Physical Education and Sports, Bắc Kinh), Meng Chi (đồng tác giả liên hệ, Shenyang Pharmaceutical University, Thẩm Dương, Trung Quốc).</w:t>
      </w:r>
    </w:p>
    <w:p>
      <w:pPr>
        <w:spacing w:line="360" w:lineRule="auto"/>
      </w:pPr>
      <w:r>
        <w:rPr>
          <w:rFonts w:ascii="Times New Roman" w:hAnsi="Times New Roman"/>
          <w:sz w:val="24"/>
        </w:rPr>
        <w:t>Xuất bản trên BMC Psychiatry, 2025; 25:809. DOI: 10.1186/s12888-025-07227-y. Đăng ký PROSPERO: CRD42024587910. Truy cập mở (Open Access, CC BY-NC-ND 4.0). 14 trang, 1 bảng (Table 1 — đặc điểm 30 RCTs), 6 hình (PRISMA, đánh giá chất lượng, sơ đồ mạng, biểu đồ hiệu quả tương đối, SUCRA, funnel plot).</w:t>
      </w:r>
    </w:p>
    <w:p>
      <w:pPr>
        <w:spacing w:line="360" w:lineRule="auto"/>
      </w:pPr>
      <w:r>
        <w:rPr>
          <w:rFonts w:ascii="Times New Roman" w:hAnsi="Times New Roman"/>
          <w:b/>
          <w:sz w:val="24"/>
        </w:rPr>
        <w:t>Mẫu khảo sát, đối tượng, địa bàn</w:t>
      </w:r>
    </w:p>
    <w:p>
      <w:pPr>
        <w:spacing w:line="360" w:lineRule="auto"/>
      </w:pPr>
      <w:r>
        <w:rPr>
          <w:rFonts w:ascii="Times New Roman" w:hAnsi="Times New Roman"/>
          <w:sz w:val="24"/>
        </w:rPr>
        <w:t>30 thử nghiệm ngẫu nhiên có đối chứng (RCT) với 1.711 trẻ em và thanh thiếu niên từ 6 đến 18 tuổi, được chẩn đoán rối loạn lo âu theo DSM-5 (gồm ám ảnh sợ chuyên biệt, sợ khoảng rộng, rối loạn lo âu xã hội, rối loạn lo âu lan toả, rối loạn hoảng sợ và rối loạn lo âu chia ly). Tuổi trung bình 12,40 tuổi (qua 27 nghiên cứu báo cáo); 62% nữ (qua 29 nghiên cứu báo cáo). 30 RCTs đến từ 12 quốc gia: Mỹ (n=7), Úc (n=5), Đức (n=3), Anh (n=2), Iran (n=2), Thụy Điển (n=2) và các khu vực khác (n=9). Tuyển mộ từ bệnh viện (n=13), trường học (n=13) và cộng đồng (n=4). Không có RCT nào từ Việt Nam hay ASEAN.</w:t>
      </w:r>
    </w:p>
    <w:p>
      <w:pPr>
        <w:spacing w:line="360" w:lineRule="auto"/>
      </w:pPr>
      <w:r>
        <w:rPr>
          <w:rFonts w:ascii="Times New Roman" w:hAnsi="Times New Roman"/>
          <w:b/>
          <w:sz w:val="24"/>
        </w:rPr>
        <w:t>Phương pháp nghiên cứu</w:t>
      </w:r>
    </w:p>
    <w:p>
      <w:pPr>
        <w:spacing w:line="360" w:lineRule="auto"/>
      </w:pPr>
      <w:r>
        <w:rPr>
          <w:rFonts w:ascii="Times New Roman" w:hAnsi="Times New Roman"/>
          <w:sz w:val="24"/>
        </w:rPr>
        <w:t>Tổng quan hệ thống và phân tích tổng hợp mạng Bayes (Bayesian network meta-analysis) tuân thủ hướng dẫn PRISMA, đăng ký trước trên PROSPERO. Phương pháp này cho phép so sánh đồng thời nhiều loại can thiệp ngay cả khi chưa từng được so sánh trực tiếp trong một RCT riêng lẻ, dựa trên mạng lưới bằng chứng trực tiếp và gián tiếp.</w:t>
      </w:r>
    </w:p>
    <w:p>
      <w:pPr>
        <w:spacing w:line="360" w:lineRule="auto"/>
      </w:pPr>
      <w:r>
        <w:rPr>
          <w:rFonts w:ascii="Times New Roman" w:hAnsi="Times New Roman"/>
          <w:sz w:val="24"/>
        </w:rPr>
        <w:t>Tìm kiếm trong 5 cơ sở dữ liệu: Cochrane Library, Embase, PubMed, Scopus và Web of Science, giới hạn các bài công bố từ 01/01/1976 đến 01/09/2024. Bổ sung tìm tay qua Google Scholar và danh mục tham khảo của các tổng quan liên quan. Chỉ chọn bài tiếng Anh, có bình duyệt; loại tài liệu xám, luận án, kỷ yếu hội nghị.</w:t>
      </w:r>
    </w:p>
    <w:p>
      <w:pPr>
        <w:spacing w:line="360" w:lineRule="auto"/>
      </w:pPr>
      <w:r>
        <w:rPr>
          <w:rFonts w:ascii="Times New Roman" w:hAnsi="Times New Roman"/>
          <w:sz w:val="24"/>
        </w:rPr>
        <w:t>Tiêu chí PICOS: (1) trẻ em/thanh thiếu niên 6–18 tuổi có chẩn đoán rối loạn lo âu DSM-5; loại trừ trẻ có bệnh đồng diễn nặng (rối loạn phổ tự kỷ, ADHD, ung thư, đái tháo đường); (2) can thiệp: trị liệu nhận thức–hành vi (CBT), trị liệu chấp nhận và cam kết (ACT), vận động thể chất (PE) hoặc trị liệu tiếp xúc thực tế ảo (VRET) — gồm cả các nghiên cứu kết hợp CBT với vận động; (3) đối chứng: chăm sóc thông thường, không can thiệp, hoặc danh sách chờ; (4) đầu ra chính: triệu chứng lo âu; (5) thiết kế: RCT.</w:t>
      </w:r>
    </w:p>
    <w:p>
      <w:pPr>
        <w:spacing w:line="360" w:lineRule="auto"/>
      </w:pPr>
      <w:r>
        <w:rPr>
          <w:rFonts w:ascii="Times New Roman" w:hAnsi="Times New Roman"/>
          <w:sz w:val="24"/>
        </w:rPr>
        <w:t>Sàng lọc và trích xuất do hai nhà nghiên cứu độc lập (LLH, WJY), bất đồng do người thứ ba (LQE) giải quyết. Đánh giá nguy cơ thiên lệch bằng Cochrane Review Manager 5.4 theo Cochrane Handbook 5.1.0, với 6 chỉ số (phân nhóm ngẫu nhiên, che giấu phân nhóm, mù đôi, đầy đủ kết quả, báo cáo chọn lọc, thiên lệch khác). Phân tích NMA Bayes bằng gói Multinma 0.8.1 trong RStudio 2024.12, với 4 chuỗi MCMC, mỗi chuỗi 2.000 vòng lặp (1.000 burn-in + 1.000 mẫu giữ lại). Cỡ hiệu lực biểu thị bằng chênh lệch trung bình (MD) và khoảng tin cậy 95% (95% CrI). Xếp hạng can thiệp bằng SUCRA. Đánh giá chất lượng bằng chứng theo GRADE (điều chỉnh cho NMA).</w:t>
      </w:r>
    </w:p>
    <w:p>
      <w:pPr>
        <w:spacing w:line="360" w:lineRule="auto"/>
      </w:pPr>
      <w:r>
        <w:rPr>
          <w:rFonts w:ascii="Times New Roman" w:hAnsi="Times New Roman"/>
          <w:b/>
          <w:sz w:val="24"/>
        </w:rPr>
        <w:t>Phát hiện chính</w:t>
      </w:r>
    </w:p>
    <w:p>
      <w:pPr>
        <w:spacing w:line="360" w:lineRule="auto"/>
      </w:pPr>
      <w:r>
        <w:rPr>
          <w:rFonts w:ascii="Times New Roman" w:hAnsi="Times New Roman"/>
          <w:sz w:val="24"/>
        </w:rPr>
        <w:t>Sàng lọc 19.442 bản ghi (cộng 6 bản ghi tìm tay), sau khi loại trùng còn 10.596 bản, sàng lọc đầy đủ văn bản 79 bài, cuối cùng đưa vào 30 RCT. Hệ số kappa giữa hai người sàng lọc 0,83 (rất tốt).</w:t>
      </w:r>
    </w:p>
    <w:p>
      <w:pPr>
        <w:spacing w:line="360" w:lineRule="auto"/>
      </w:pPr>
      <w:r>
        <w:rPr>
          <w:rFonts w:ascii="Times New Roman" w:hAnsi="Times New Roman"/>
          <w:sz w:val="24"/>
        </w:rPr>
        <w:t>Phân bố can thiệp trong 30 RCTs: CBT (n=16 nghiên cứu), ACT (n=6), VRET (n=6), PE (n=2). Thời lượng trung vị 10 tuần (3–24 tuần), 1 buổi/tuần (1–5), mỗi buổi 60 phút (20–120). Theo dõi trung vị 3 tháng (1–12).</w:t>
      </w:r>
    </w:p>
    <w:p>
      <w:pPr>
        <w:spacing w:line="360" w:lineRule="auto"/>
      </w:pPr>
      <w:r>
        <w:rPr>
          <w:rFonts w:ascii="Times New Roman" w:hAnsi="Times New Roman"/>
          <w:sz w:val="24"/>
        </w:rPr>
        <w:t>Xếp hạng hiệu quả (so với nhóm đối chứng, MD và 95% CrI — Trang 7–8 PDF):</w:t>
      </w:r>
    </w:p>
    <w:p>
      <w:pPr>
        <w:spacing w:line="360" w:lineRule="auto"/>
      </w:pPr>
      <w:r>
        <w:rPr>
          <w:rFonts w:ascii="Times New Roman" w:hAnsi="Times New Roman"/>
          <w:sz w:val="24"/>
        </w:rPr>
        <w:t>• Hạng 1 — ACT (Acceptance and Commitment Therapy): MD = −3,83 [95% CrI: −9,33; 1,51]; mean rank 2,25 [1; 5]; SUCRA = 0,69. Đây là can thiệp hiệu quả nhất.</w:t>
      </w:r>
    </w:p>
    <w:p>
      <w:pPr>
        <w:spacing w:line="360" w:lineRule="auto"/>
      </w:pPr>
      <w:r>
        <w:rPr>
          <w:rFonts w:ascii="Times New Roman" w:hAnsi="Times New Roman"/>
          <w:sz w:val="24"/>
        </w:rPr>
        <w:t>• Hạng 2 — CBT (Cognitive Behavioral Therapy): MD = −3,64 [95% CrI: −7,36; −0,48]; mean rank 2,31 [1; 4]; SUCRA = 0,66. Đây là can thiệp duy nhất có khoảng tin cậy không bắt qua 0, cho thấy bằng chứng vững nhất về hiệu quả giảm lo âu.</w:t>
      </w:r>
    </w:p>
    <w:p>
      <w:pPr>
        <w:spacing w:line="360" w:lineRule="auto"/>
      </w:pPr>
      <w:r>
        <w:rPr>
          <w:rFonts w:ascii="Times New Roman" w:hAnsi="Times New Roman"/>
          <w:sz w:val="24"/>
        </w:rPr>
        <w:t>• Hạng 3 — VRET (Virtual Reality Exposure Therapy): MD = −2,53 [95% CrI: −8,23; 3,32]; mean rank 2,86 [1; 5]; SUCRA = 0,51.</w:t>
      </w:r>
    </w:p>
    <w:p>
      <w:pPr>
        <w:spacing w:line="360" w:lineRule="auto"/>
      </w:pPr>
      <w:r>
        <w:rPr>
          <w:rFonts w:ascii="Times New Roman" w:hAnsi="Times New Roman"/>
          <w:sz w:val="24"/>
        </w:rPr>
        <w:t>• Hạng 4 — PE (Physical Exercise): MD = −2,16 [95% CrI: −9,99; 5,52]; mean rank 3,12 [1; 5]; SUCRA = 0,51.</w:t>
      </w:r>
    </w:p>
    <w:p>
      <w:pPr>
        <w:spacing w:line="360" w:lineRule="auto"/>
      </w:pPr>
      <w:r>
        <w:rPr>
          <w:rFonts w:ascii="Times New Roman" w:hAnsi="Times New Roman"/>
          <w:sz w:val="24"/>
        </w:rPr>
        <w:t>Tính nhất quán mạng lưới: node-splitting cho tất cả P &gt; 0,05 (không có mâu thuẫn cục bộ). Mô hình ngẫu nhiên (DIC = 141,3) phù hợp hơn mô hình cố định (DIC = 263,4). Tính dị biệt đáng kể (τ = 5,87; 95% CrI: 2,92–9,83). Egger test p = 0,91 — không có thiên lệch xuất bản. So sánh head-to-head phổ biến nhất là CBT vs đối chứng (n = 16).</w:t>
      </w:r>
    </w:p>
    <w:p>
      <w:pPr>
        <w:spacing w:line="360" w:lineRule="auto"/>
      </w:pPr>
      <w:r>
        <w:rPr>
          <w:rFonts w:ascii="Times New Roman" w:hAnsi="Times New Roman"/>
          <w:sz w:val="24"/>
        </w:rPr>
        <w:t>Đánh giá GRADE: chất lượng bằng chứng tổng thể THẤP do mâu thuẫn về tính không chính xác (imprecision — nhiều 95% CrI rất rộng và bắt qua 0) và tính dị biệt cao giữa các nghiên cứu.</w:t>
      </w:r>
    </w:p>
    <w:p>
      <w:pPr>
        <w:spacing w:line="360" w:lineRule="auto"/>
      </w:pPr>
      <w:r>
        <w:rPr>
          <w:rFonts w:ascii="Times New Roman" w:hAnsi="Times New Roman"/>
          <w:sz w:val="24"/>
        </w:rPr>
        <w:t>Kết luận của tác giả: ACT có khả năng là can thiệp hiệu quả nhất cho rối loạn lo âu ở trẻ em/thanh thiếu niên, nhưng phát hiện cần được diễn giải thận trọng do chất lượng bằng chứng thấp, tính dị biệt cao và độ không chính xác lớn. Hướng nghiên cứu tương lai: kết hợp PE hoặc VR với trị liệu tâm lý; thêm RCT chất lượng cao quy mô lớn.</w:t>
      </w:r>
    </w:p>
    <w:p>
      <w:pPr>
        <w:spacing w:line="360" w:lineRule="auto"/>
      </w:pPr>
      <w:r>
        <w:rPr>
          <w:rFonts w:ascii="Times New Roman" w:hAnsi="Times New Roman"/>
          <w:b/>
          <w:sz w:val="24"/>
        </w:rPr>
        <w:t>Phản biện</w:t>
      </w:r>
    </w:p>
    <w:p>
      <w:pPr>
        <w:spacing w:line="360" w:lineRule="auto"/>
      </w:pPr>
      <w:r>
        <w:rPr>
          <w:rFonts w:ascii="Times New Roman" w:hAnsi="Times New Roman"/>
          <w:sz w:val="24"/>
        </w:rPr>
        <w:t>(1) Đính chính lỗi nghiêm trọng trong tóm tắt cũ: bài KHÔNG xếp hạng “CBT cá nhân hạng 1”. Bài so sánh 4 LOẠI can thiệp (ACT, CBT, VRET, PE), không phân tách CBT theo định dạng (cá nhân/nhóm/iCBT). ACT mới là can thiệp xếp hạng 1, CBT xếp hạng 2.</w:t>
      </w:r>
    </w:p>
    <w:p>
      <w:pPr>
        <w:spacing w:line="360" w:lineRule="auto"/>
      </w:pPr>
      <w:r>
        <w:rPr>
          <w:rFonts w:ascii="Times New Roman" w:hAnsi="Times New Roman"/>
          <w:sz w:val="24"/>
        </w:rPr>
        <w:t>(2) Cảnh báo về độ tin cậy của xếp hạng: chênh lệch SUCRA giữa ACT (0,69) và CBT (0,66) chỉ 0,03 — gần như tương đương. Quan trọng hơn, 95% CrI của ACT (−9,33; 1,51) BẮT QUA 0, trong khi 95% CrI của CBT (−7,36; −0,48) KHÔNG bắt qua 0. Về mặt thống kê, CBT là can thiệp duy nhất có bằng chứng rõ ràng vượt đối chứng. Tuyên bố “ACT hiệu quả nhất” dựa trên điểm ước lượng MD, không phải ý nghĩa thống kê.</w:t>
      </w:r>
    </w:p>
    <w:p>
      <w:pPr>
        <w:spacing w:line="360" w:lineRule="auto"/>
      </w:pPr>
      <w:r>
        <w:rPr>
          <w:rFonts w:ascii="Times New Roman" w:hAnsi="Times New Roman"/>
          <w:sz w:val="24"/>
        </w:rPr>
        <w:t>(3) Mất cân bằng số lượng nghiên cứu: ACT chỉ có 6 RCT, PE chỉ 2 RCT, trong khi CBT có 16 RCT. Xếp hạng ACT &gt; CBT dựa trên cơ sở bằng chứng mỏng hơn đáng kể.</w:t>
      </w:r>
    </w:p>
    <w:p>
      <w:pPr>
        <w:spacing w:line="360" w:lineRule="auto"/>
      </w:pPr>
      <w:r>
        <w:rPr>
          <w:rFonts w:ascii="Times New Roman" w:hAnsi="Times New Roman"/>
          <w:sz w:val="24"/>
        </w:rPr>
        <w:t>(4) GRADE THẤP cho toàn bộ mạng lưới — đây là cảnh báo nghiêm trọng. Tính dị biệt τ = 5,87 rất cao (so với MD chỉ −2 đến −4), nghĩa là khác biệt giữa các RCT lớn hơn cả hiệu quả can thiệp.</w:t>
      </w:r>
    </w:p>
    <w:p>
      <w:pPr>
        <w:spacing w:line="360" w:lineRule="auto"/>
      </w:pPr>
      <w:r>
        <w:rPr>
          <w:rFonts w:ascii="Times New Roman" w:hAnsi="Times New Roman"/>
          <w:sz w:val="24"/>
        </w:rPr>
        <w:t>(5) Khoảng trống áp dụng cho Việt Nam: 30 RCTs đến từ 12 quốc gia — không có Việt Nam, không có ASEAN. Trung Quốc cũng chỉ 1 RCT (Yen 2014). Bằng chứng chủ yếu từ phương Tây (Mỹ + Úc + châu Âu ≈ 21/30 RCT).</w:t>
      </w:r>
    </w:p>
    <w:p>
      <w:pPr>
        <w:spacing w:line="360" w:lineRule="auto"/>
      </w:pPr>
      <w:r>
        <w:rPr>
          <w:rFonts w:ascii="Times New Roman" w:hAnsi="Times New Roman"/>
          <w:sz w:val="24"/>
        </w:rPr>
        <w:t>(6) Hạn chế phương pháp do tác giả tự nhận: chỉ chọn bài tiếng Anh (loại tài liệu xám); không đánh giá kết quả lâu dài; không tách phân nhóm theo từng loại rối loạn lo âu (SAD vs GAD vs phobia).</w:t>
      </w:r>
    </w:p>
    <w:p>
      <w:pPr>
        <w:spacing w:line="360" w:lineRule="auto"/>
      </w:pPr>
      <w:r>
        <w:rPr>
          <w:rFonts w:ascii="Times New Roman" w:hAnsi="Times New Roman"/>
          <w:b/>
          <w:sz w:val="24"/>
        </w:rPr>
        <w:t>Áp dụng cho bối cảnh Việt Nam</w:t>
      </w:r>
    </w:p>
    <w:p>
      <w:pPr>
        <w:spacing w:line="360" w:lineRule="auto"/>
      </w:pPr>
      <w:r>
        <w:rPr>
          <w:rFonts w:ascii="Times New Roman" w:hAnsi="Times New Roman"/>
          <w:sz w:val="24"/>
        </w:rPr>
        <w:t>Mặc dù tóm tắt cũ tuyên bố sai về xếp hạng, hàm ý chính sách vẫn có giá trị: CBT là can thiệp duy nhất có bằng chứng thống kê vững (95% CrI không bắt qua 0) và có cơ sở bằng chứng dày nhất (16 RCT). ACT là lựa chọn tiềm năng nhưng cần thêm bằng chứng. Không RCT nào từ Việt Nam — cần ưu tiên RCT CBT trong bối cảnh trường học hoặc bệnh viện nhi tại VN, có thể kết hợp PE (chi phí thấp, dễ triển khai) như tác giả gợi ý.</w:t>
      </w:r>
    </w:p>
    <w:p>
      <w:pPr>
        <w:spacing w:line="360" w:lineRule="auto"/>
      </w:pPr>
      <w:r>
        <w:rPr>
          <w:rFonts w:ascii="Times New Roman" w:hAnsi="Times New Roman"/>
          <w:b/>
          <w:sz w:val="24"/>
        </w:rPr>
        <w:t>Tham khảo</w:t>
      </w:r>
    </w:p>
    <w:p>
      <w:pPr>
        <w:spacing w:line="360" w:lineRule="auto"/>
      </w:pPr>
      <w:r>
        <w:rPr>
          <w:rFonts w:ascii="Times New Roman" w:hAnsi="Times New Roman"/>
          <w:sz w:val="24"/>
        </w:rPr>
        <w:t>Li L, Li Q, Wang J, Fu Q, Chi M. Effects of different interventions on anxiety disorders in children and adolescents: a systematic review and bayesian network meta-analysis. BMC Psychiatry. 2025;25:809. DOI: 10.1186/s12888-025-07227-y. PROSPERO CRD42024587910. URL: https://doi.org/10.1186/s12888-025-07227-y</w:t>
      </w:r>
    </w:p>
    <w:p>
      <w:pPr>
        <w:spacing w:line="360" w:lineRule="auto"/>
      </w:pPr>
      <w:r>
        <w:rPr>
          <w:rFonts w:ascii="Times New Roman" w:hAnsi="Times New Roman"/>
          <w:sz w:val="24"/>
        </w:rPr>
        <w:t>Truy vết nội bộ: PDF gốc tại 02_Papers-goc/The-gioi_Khac/QT029_BMC_Li_CBT_NMA_2025.pdf. Đối chiếu trực tiếp trang 1 (abstract, tác giả, DOI), trang 2–3 (intro, search strategy, PICOS), trang 4 (Cochrane RM 5.4, GRADE, MCMC), trang 6 (Table 1, n RCTs), trang 7–8 (SUCRA, MD, CrI, hạng từng can thiệp), trang 9 (figure 5 — SUCRA plot).</w:t>
      </w:r>
    </w:p>
    <w:p>
      <w:pPr>
        <w:spacing w:line="360" w:lineRule="auto"/>
      </w:pPr>
      <w:r>
        <w:rPr>
          <w:rFonts w:ascii="Times New Roman" w:hAnsi="Times New Roman"/>
          <w:b/>
          <w:sz w:val="24"/>
        </w:rPr>
        <w:t>───────────────────────────────</w:t>
      </w:r>
    </w:p>
    <w:p>
      <w:pPr>
        <w:spacing w:line="360" w:lineRule="auto"/>
      </w:pPr>
      <w:r>
        <w:rPr>
          <w:rFonts w:ascii="Times New Roman" w:hAnsi="Times New Roman"/>
          <w:sz w:val="24"/>
        </w:rPr>
        <w:t>Đã sửa lỗi factual (07/06/2026) — đối chiếu trực tiếp PDF gốc.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