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r>
      <w:r>
        <w:rPr>
          <w:rFonts w:ascii="Times New Roman" w:hAnsi="Times New Roman"/>
          <w:sz w:val="26"/>
        </w:rPr>
        <w:t xml:space="preserve">Công trình nghiên cứu « Kết quả sàng lọc lo âu, trầm cảm, stress bằng DASS-21 ở học sinh phổ thông Long Bình, tỉnh An Giang năm 2024 » (Results of Screening for Anxiety, Depression, and Stress Using DASS-21 Among Long Binh High School Students, An Giang Province in 2024), do </w:t>
      </w:r>
      <w:r>
        <w:rPr>
          <w:rFonts w:ascii="Times New Roman" w:hAnsi="Times New Roman"/>
          <w:b/>
          <w:color w:val="C00000"/>
          <w:sz w:val="26"/>
        </w:rPr>
        <w:t>Nguyễn Đăng K., Lê Minh T. và Ngô Anh V.</w:t>
      </w:r>
      <w:r>
        <w:rPr>
          <w:rFonts w:ascii="Times New Roman" w:hAnsi="Times New Roman"/>
          <w:sz w:val="26"/>
        </w:rPr>
        <w:t xml:space="preserve"> (2025), khảo sát trên 366 học sinh THPT Long Bình, tỉnh An Giang, thu thập tháng 6/2024, xuất bản trên Tạp chí Y học Việt Nam, tập 549, số 1, tháng 4/2025, trang 32–35. DOI: 10.51298/vmj.v549i1.13506.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tại trường học.</w:t>
      </w:r>
    </w:p>
    <w:p>
      <w:r>
        <w:rPr>
          <w:rFonts w:ascii="Times New Roman" w:hAnsi="Times New Roman"/>
          <w:b w:val="0"/>
          <w:color w:val="0070C0"/>
          <w:sz w:val="24"/>
        </w:rPr>
        <w:t>DASS-21 phiên bản tiếng Việt đã được xác thực (Lê Thị Hồng Minh và Thạch Đức Trần, 2017; PLoS ONE). Phân tích bằng kiểm định chi bình phương. Nghiên cứu được phê duyệt đạo đức (QĐ 139/2024/YTCC-HD3).</w:t>
      </w:r>
    </w:p>
    <w:p>
      <w:r>
        <w:rPr>
          <w:rFonts w:ascii="Times New Roman" w:hAnsi="Times New Roman"/>
          <w:b/>
          <w:color w:val="0070C0"/>
          <w:sz w:val="24"/>
        </w:rPr>
        <w:t>Tổng quan tài liệu của chúng tôi cho thấy vùng Đồng bằng sông Cửu Long (ĐBSCL) hầu như chưa có nghiên cứu về sức khỏe tâm thần thanh thiếu niên. So sánh: Cần Thơ lo âu 59,0% (nghiên cứu trước), Thanh Hóa 49,0% (Danh Lâm, 2022). Đây là nghiên cứu đầu tiên tại An Giang.</w:t>
      </w:r>
    </w:p>
    <w:p>
      <w:r>
        <w:rPr>
          <w:rFonts w:ascii="Times New Roman" w:hAnsi="Times New Roman"/>
          <w:b w:val="0"/>
          <w:color w:val="0070C0"/>
          <w:sz w:val="24"/>
        </w:rPr>
        <w:t>Dữ liệu bao gồm giới tính, khối lớp (10–12), học lực, kinh tế gia đình. Cỡ mẫu 366 HS, tỷ lệ nam/nữ cân bằng (50,5/49,5%).</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lo âu, trầm cảm, stress (N = 366,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61,2%</w:t>
            </w:r>
          </w:p>
        </w:tc>
        <w:tc>
          <w:tcPr>
            <w:tcW w:type="dxa" w:w="1567"/>
            <w:tcW w:w="850" w:type="dxa"/>
          </w:tcPr>
          <w:p>
            <w:r>
              <w:rPr>
                <w:rFonts w:ascii="Times New Roman" w:hAnsi="Times New Roman"/>
                <w:sz w:val="20"/>
              </w:rPr>
              <w:t>9,3%</w:t>
            </w:r>
          </w:p>
        </w:tc>
        <w:tc>
          <w:tcPr>
            <w:tcW w:type="dxa" w:w="1567"/>
            <w:tcW w:w="850" w:type="dxa"/>
          </w:tcPr>
          <w:p>
            <w:r>
              <w:rPr>
                <w:rFonts w:ascii="Times New Roman" w:hAnsi="Times New Roman"/>
                <w:sz w:val="20"/>
              </w:rPr>
              <w:t>24,0%</w:t>
            </w:r>
          </w:p>
        </w:tc>
        <w:tc>
          <w:tcPr>
            <w:tcW w:type="dxa" w:w="1567"/>
            <w:tcW w:w="850" w:type="dxa"/>
          </w:tcPr>
          <w:p>
            <w:r>
              <w:rPr>
                <w:rFonts w:ascii="Times New Roman" w:hAnsi="Times New Roman"/>
                <w:sz w:val="20"/>
              </w:rPr>
              <w:t>12,6%</w:t>
            </w:r>
          </w:p>
        </w:tc>
        <w:tc>
          <w:tcPr>
            <w:tcW w:type="dxa" w:w="1567"/>
            <w:tcW w:w="1134" w:type="dxa"/>
          </w:tcPr>
          <w:p>
            <w:r>
              <w:rPr>
                <w:rFonts w:ascii="Times New Roman" w:hAnsi="Times New Roman"/>
                <w:sz w:val="20"/>
              </w:rPr>
              <w:t>15,3%</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47,3%</w:t>
            </w:r>
          </w:p>
        </w:tc>
        <w:tc>
          <w:tcPr>
            <w:tcW w:type="dxa" w:w="1567"/>
            <w:tcW w:w="850" w:type="dxa"/>
          </w:tcPr>
          <w:p>
            <w:r>
              <w:rPr>
                <w:rFonts w:ascii="Times New Roman" w:hAnsi="Times New Roman"/>
                <w:sz w:val="20"/>
              </w:rPr>
              <w:t>15,8%</w:t>
            </w:r>
          </w:p>
        </w:tc>
        <w:tc>
          <w:tcPr>
            <w:tcW w:type="dxa" w:w="1567"/>
            <w:tcW w:w="850" w:type="dxa"/>
          </w:tcPr>
          <w:p>
            <w:r>
              <w:rPr>
                <w:rFonts w:ascii="Times New Roman" w:hAnsi="Times New Roman"/>
                <w:sz w:val="20"/>
              </w:rPr>
              <w:t>18,0%</w:t>
            </w:r>
          </w:p>
        </w:tc>
        <w:tc>
          <w:tcPr>
            <w:tcW w:type="dxa" w:w="1567"/>
            <w:tcW w:w="850" w:type="dxa"/>
          </w:tcPr>
          <w:p>
            <w:r>
              <w:rPr>
                <w:rFonts w:ascii="Times New Roman" w:hAnsi="Times New Roman"/>
                <w:sz w:val="20"/>
              </w:rPr>
              <w:t>8,5%</w:t>
            </w:r>
          </w:p>
        </w:tc>
        <w:tc>
          <w:tcPr>
            <w:tcW w:type="dxa" w:w="1567"/>
            <w:tcW w:w="1134" w:type="dxa"/>
          </w:tcPr>
          <w:p>
            <w:r>
              <w:rPr>
                <w:rFonts w:ascii="Times New Roman" w:hAnsi="Times New Roman"/>
                <w:sz w:val="20"/>
              </w:rPr>
              <w:t>4,9%</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38,0%</w:t>
            </w:r>
          </w:p>
        </w:tc>
        <w:tc>
          <w:tcPr>
            <w:tcW w:type="dxa" w:w="1567"/>
            <w:tcW w:w="850" w:type="dxa"/>
          </w:tcPr>
          <w:p>
            <w:r>
              <w:rPr>
                <w:rFonts w:ascii="Times New Roman" w:hAnsi="Times New Roman"/>
                <w:sz w:val="20"/>
              </w:rPr>
              <w:t>12,8%</w:t>
            </w:r>
          </w:p>
        </w:tc>
        <w:tc>
          <w:tcPr>
            <w:tcW w:type="dxa" w:w="1567"/>
            <w:tcW w:w="850" w:type="dxa"/>
          </w:tcPr>
          <w:p>
            <w:r>
              <w:rPr>
                <w:rFonts w:ascii="Times New Roman" w:hAnsi="Times New Roman"/>
                <w:sz w:val="20"/>
              </w:rPr>
              <w:t>16,4%</w:t>
            </w:r>
          </w:p>
        </w:tc>
        <w:tc>
          <w:tcPr>
            <w:tcW w:type="dxa" w:w="1567"/>
            <w:tcW w:w="850" w:type="dxa"/>
          </w:tcPr>
          <w:p>
            <w:r>
              <w:rPr>
                <w:rFonts w:ascii="Times New Roman" w:hAnsi="Times New Roman"/>
                <w:sz w:val="20"/>
              </w:rPr>
              <w:t>11,5%</w:t>
            </w:r>
          </w:p>
        </w:tc>
        <w:tc>
          <w:tcPr>
            <w:tcW w:type="dxa" w:w="1567"/>
            <w:tcW w:w="1134" w:type="dxa"/>
          </w:tcPr>
          <w:p>
            <w:r>
              <w:rPr>
                <w:rFonts w:ascii="Times New Roman" w:hAnsi="Times New Roman"/>
                <w:sz w:val="20"/>
              </w:rPr>
              <w:t>4,9%</w:t>
            </w:r>
          </w:p>
        </w:tc>
      </w:tr>
    </w:tbl>
    <w:p/>
    <w:p>
      <w:r>
        <w:rPr>
          <w:rFonts w:ascii="Times New Roman" w:hAnsi="Times New Roman"/>
          <w:b/>
          <w:color w:val="0070C0"/>
          <w:sz w:val="24"/>
        </w:rPr>
        <w:t>Đồng mắc (N = 366):</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Số triệu chứng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Không có (0)</w:t>
            </w:r>
          </w:p>
        </w:tc>
        <w:tc>
          <w:tcPr>
            <w:tcW w:type="dxa" w:w="3135"/>
            <w:tcW w:w="1417" w:type="dxa"/>
          </w:tcPr>
          <w:p>
            <w:r>
              <w:rPr>
                <w:rFonts w:ascii="Times New Roman" w:hAnsi="Times New Roman"/>
                <w:sz w:val="20"/>
              </w:rPr>
              <w:t>28,1%</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1 triệu chứng</w:t>
            </w:r>
          </w:p>
        </w:tc>
        <w:tc>
          <w:tcPr>
            <w:tcW w:type="dxa" w:w="3135"/>
            <w:tcW w:w="1417" w:type="dxa"/>
          </w:tcPr>
          <w:p>
            <w:r>
              <w:rPr>
                <w:rFonts w:ascii="Times New Roman" w:hAnsi="Times New Roman"/>
                <w:sz w:val="20"/>
              </w:rPr>
              <w:t>24,6%</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2 triệu chứng</w:t>
            </w:r>
          </w:p>
        </w:tc>
        <w:tc>
          <w:tcPr>
            <w:tcW w:type="dxa" w:w="3135"/>
            <w:tcW w:w="1417" w:type="dxa"/>
          </w:tcPr>
          <w:p>
            <w:r>
              <w:rPr>
                <w:rFonts w:ascii="Times New Roman" w:hAnsi="Times New Roman"/>
                <w:sz w:val="20"/>
              </w:rPr>
              <w:t>20,0%</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cả 3 triệu chứng</w:t>
            </w:r>
          </w:p>
        </w:tc>
        <w:tc>
          <w:tcPr>
            <w:tcW w:type="dxa" w:w="3135"/>
            <w:tcW w:w="1417" w:type="dxa"/>
          </w:tcPr>
          <w:p>
            <w:r>
              <w:rPr>
                <w:rFonts w:ascii="Times New Roman" w:hAnsi="Times New Roman"/>
                <w:sz w:val="20"/>
              </w:rPr>
              <w:t>27,3%</w:t>
            </w:r>
          </w:p>
        </w:tc>
        <w:tc>
          <w:tcPr>
            <w:tcW w:type="dxa" w:w="3135"/>
            <w:tcW w:w="2835" w:type="dxa"/>
          </w:tcPr>
          <w:p>
            <w:r>
              <w:rPr>
                <w:rFonts w:ascii="Times New Roman" w:hAnsi="Times New Roman"/>
                <w:sz w:val="20"/>
              </w:rPr>
              <w:t>Hơn 1/4 đồng mắc cả 3</w:t>
            </w:r>
          </w:p>
        </w:tc>
      </w:tr>
    </w:tbl>
    <w:p/>
    <w:p>
      <w:pPr>
        <w:pStyle w:val="Heading3"/>
      </w:pPr>
      <w:r>
        <w:rPr>
          <w:rFonts w:ascii="Times New Roman" w:hAnsi="Times New Roman"/>
          <w:color w:val="0070C0"/>
        </w:rPr>
        <w:t>So sánh liên bài : Tổng quan tài liệu cho thấy tỷ lệ lo âu bằng DASS-21 tại Việt Nam dao động rộng. Lo âu 61,2% tại An Giang nằm ở mức trung bình-cao: thấp hơn Bảo Quyên 2025 (86,2%) và Thảo Vi 2025 (65,8%), nhưng cao hơn Danh Lâm 2022 (49,0%) và Hoàng Trung Học 2025 (41,5% trong COVID). Nói cách khác, vùng ĐBSCL có tỷ lệ tương đương với các vùng khác khi dùng cùng công cụ DASS-21.</w:t>
      </w:r>
      <w:r>
        <w:rPr>
          <w:rFonts w:ascii="Times New Roman" w:hAnsi="Times New Roman"/>
          <w:b/>
          <w:sz w:val="22"/>
        </w:rPr>
        <w:br/>
        <w:t>Bảng 2. So sánh / Yếu tố liên quan</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đồng mắc và đặc thù ĐBSCL</w:t>
      </w:r>
    </w:p>
    <w:p>
      <w:r>
        <w:rPr>
          <w:rFonts w:ascii="Times New Roman" w:hAnsi="Times New Roman"/>
          <w:b w:val="0"/>
          <w:color w:val="0070C0"/>
          <w:sz w:val="24"/>
        </w:rPr>
        <w:t>*Đồng mắc cao.* 27,3% HS có cả 3 triệu chứng (lo âu + trầm cảm + stress) — gợi ý các rối loạn này chồng chéo mạnh, tương tự Bhardwaj 2020 (OR đồng mắc = 9,77–17,26). Điều này ủng hộ quan điểm sàng lọc cả 3 tình trạng đồng thời.</w:t>
      </w:r>
    </w:p>
    <w:p>
      <w:r>
        <w:rPr>
          <w:rFonts w:ascii="Times New Roman" w:hAnsi="Times New Roman"/>
          <w:b w:val="0"/>
          <w:color w:val="0070C0"/>
          <w:sz w:val="24"/>
        </w:rPr>
        <w:t>*Tỷ lệ giới cân bằng.* Nam 50,5% và nữ 49,5% — tốt hơn đáng kể so với Bảo Quyên 2025 (78% nữ), cho phép so sánh giới tính công bằng hơn. Tuy nhiên, bài không phân tích giới tính chi tiết.</w:t>
      </w:r>
    </w:p>
    <w:p>
      <w:r>
        <w:rPr>
          <w:rFonts w:ascii="Times New Roman" w:hAnsi="Times New Roman"/>
          <w:b w:val="0"/>
          <w:color w:val="0070C0"/>
          <w:sz w:val="24"/>
        </w:rPr>
        <w:t>*Lo âu chiếm tỷ lệ cao nhất.* Lo âu 61,2% &gt; trầm cảm 47,3% &gt; stress 38,0% — phù hợp với xu hướng quốc tế: lo âu là vấn đề phổ biến nhất ở VTN.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61,2%, trầm cảm 47,3% và stress 38,0% ở 366 HS THPT An Giang — nghiên cứu đầu tiên tại ĐBSCL, với 27,3% đồng mắc cả 3 triệu chứng, gợi ý rằng sức khỏe tâm thần VTN tại vùng ĐBSCL cần được quan tâm tương đương như các vùng đô thị lớn. Lo âu chiếm tỷ lệ cao nhất, ủng hộ ưu tiên sàng lọc và can thiệp lo âu tại trường học vùng nông thôn.</w:t>
      </w:r>
    </w:p>
    <w:p>
      <w:pPr>
        <w:pStyle w:val="Heading2"/>
      </w:pPr>
      <w:r>
        <w:rPr>
          <w:rFonts w:ascii="Times New Roman" w:hAnsi="Times New Roman"/>
          <w:color w:val="FF0000"/>
        </w:rPr>
        <w:t>Phản biện</w:t>
      </w:r>
    </w:p>
    <w:p>
      <w:r>
        <w:rPr>
          <w:rFonts w:ascii="Times New Roman" w:hAnsi="Times New Roman"/>
          <w:b w:val="0"/>
          <w:color w:val="0070C0"/>
          <w:sz w:val="24"/>
        </w:rPr>
        <w:t>Điểm mạnh: NC đầu tiên ĐBSCL, tỷ lệ giới cân bằng, DASS-21 đã xác thực, có đạo đức, DOI. Tuy nhiên, chỉ 1 trường (Long Bình) — không đại diện. Chỉ thống kê mô tả, KHÔNG phân tích yếu tố liên quan. Bài ngắn (4 trang nội dung),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nhiều trường An Giang và ĐBSCL. Phân tích hồi quy đa biến xác định yếu tố nguy cơ. So sánh ĐBSCL với đô thị (TPHCM, Hà Nội). Phân tích giới tính chi tiết. Can thiệp tại trường THPT vùng ĐBSCL.</w:t>
      </w:r>
    </w:p>
    <w:p/>
    <w:p>
      <w:r>
        <w:rPr>
          <w:rFonts w:ascii="Times New Roman" w:hAnsi="Times New Roman"/>
          <w:b/>
          <w:sz w:val="24"/>
        </w:rPr>
        <w:t>Đánh giá chất lượng: ⭐⭐ Trung bình-Thấp. NC đầu tiên ĐBSCL, giới cân bằng, nhưng 1 trường, chỉ mô tả, bài ngắn, tạp chí không QT.</w:t>
      </w:r>
    </w:p>
    <w:sectPr>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