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Kết quả sàng lọc lo âu, trầm cảm, stress bằng DASS-21 ở học sinh phổ thông Long Bình, tỉnh An Giang năm 2024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Tiêu đề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Kết quả sàng lọc lo âu, trầm cảm, stress bằng DASS-21 ở HS phổ thông Long Bình, An Giang 2024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Tác giả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Lê Minh T., Nguyễn Đăng K., Ngô Anh V.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Tạp chí Y học Việt Nam, Tập 549, Số 1, tháng 4/2025, tr. 32–35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DOI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10.51298/vmj.v549i1.13506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Cỡ mẫu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366 HS THPT Long Bình, An Giang, 6/2024, DASS-21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/>
          <w:i w:val="0"/>
          <w:sz w:val="24"/>
        </w:rPr>
        <w:t>Điểm nổi bật:</w:t>
      </w:r>
    </w:p>
    <w:p>
      <w:r>
        <w:rPr>
          <w:rFonts w:ascii="Times New Roman" w:hAnsi="Times New Roman"/>
          <w:b w:val="0"/>
          <w:i w:val="0"/>
          <w:sz w:val="24"/>
        </w:rPr>
        <w:t>• Vùng ĐBSCL — ít NC SKTT tại khu vực này.</w:t>
      </w:r>
    </w:p>
    <w:p>
      <w:r>
        <w:rPr>
          <w:rFonts w:ascii="Times New Roman" w:hAnsi="Times New Roman"/>
          <w:b w:val="0"/>
          <w:i w:val="0"/>
          <w:sz w:val="24"/>
        </w:rPr>
        <w:t>• Lo âu 61,2%, trầm cảm 47,3%, stress 38,0%.</w:t>
      </w:r>
    </w:p>
    <w:p>
      <w:r>
        <w:rPr>
          <w:rFonts w:ascii="Times New Roman" w:hAnsi="Times New Roman"/>
          <w:b w:val="0"/>
          <w:i w:val="0"/>
          <w:sz w:val="24"/>
        </w:rPr>
        <w:t>• 27,3% có đồng thời cả 3 triệu chứng.</w:t>
      </w:r>
    </w:p>
    <w:p>
      <w:r>
        <w:rPr>
          <w:rFonts w:ascii="Times New Roman" w:hAnsi="Times New Roman"/>
          <w:b w:val="0"/>
          <w:i w:val="0"/>
          <w:sz w:val="24"/>
        </w:rPr>
        <w:t>• Tỷ lệ nam/nữ cân bằng (50,5/49,5%).</w:t>
      </w:r>
    </w:p>
    <w:p>
      <w:r>
        <w:rPr>
          <w:rFonts w:ascii="Times New Roman" w:hAnsi="Times New Roman"/>
          <w:b/>
          <w:i w:val="0"/>
          <w:sz w:val="24"/>
        </w:rPr>
        <w:t>Hạn chế:</w:t>
      </w:r>
    </w:p>
    <w:p>
      <w:r>
        <w:rPr>
          <w:rFonts w:ascii="Times New Roman" w:hAnsi="Times New Roman"/>
          <w:b w:val="0"/>
          <w:i w:val="0"/>
          <w:sz w:val="24"/>
        </w:rPr>
        <w:t>• Chỉ 1 trường (Long Bình) — không đại diện.</w:t>
      </w:r>
    </w:p>
    <w:p>
      <w:r>
        <w:rPr>
          <w:rFonts w:ascii="Times New Roman" w:hAnsi="Times New Roman"/>
          <w:b w:val="0"/>
          <w:i w:val="0"/>
          <w:sz w:val="24"/>
        </w:rPr>
        <w:t>• Chỉ thống kê mô tả, KHÔNG phân tích yếu tố liên quan.</w:t>
      </w:r>
    </w:p>
    <w:p>
      <w:r>
        <w:rPr>
          <w:rFonts w:ascii="Times New Roman" w:hAnsi="Times New Roman"/>
          <w:b w:val="0"/>
          <w:i w:val="0"/>
          <w:sz w:val="24"/>
        </w:rPr>
        <w:t>• Bài ngắn (4 trang nội dung), thiếu thảo luận sâu.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CHÍNH</w:t>
      </w:r>
    </w:p>
    <w:p>
      <w:r>
        <w:rPr>
          <w:rFonts w:ascii="Times New Roman" w:hAnsi="Times New Roman"/>
          <w:i/>
          <w:color w:val="808080"/>
          <w:sz w:val="18"/>
        </w:rPr>
        <w:t>--- Trang 32–35, TC Y học Việt Nam, Tập 549, 4/2025 ---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Tình trạng</w:t>
            </w:r>
          </w:p>
        </w:tc>
        <w:tc>
          <w:tcPr>
            <w:tcW w:type="dxa" w:w="156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Tỷ lệ</w:t>
            </w:r>
          </w:p>
        </w:tc>
        <w:tc>
          <w:tcPr>
            <w:tcW w:type="dxa" w:w="156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Nhẹ</w:t>
            </w:r>
          </w:p>
        </w:tc>
        <w:tc>
          <w:tcPr>
            <w:tcW w:type="dxa" w:w="156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Vừa</w:t>
            </w:r>
          </w:p>
        </w:tc>
        <w:tc>
          <w:tcPr>
            <w:tcW w:type="dxa" w:w="156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Nặng</w:t>
            </w:r>
          </w:p>
        </w:tc>
        <w:tc>
          <w:tcPr>
            <w:tcW w:type="dxa" w:w="1567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Rất nặng</w:t>
            </w:r>
          </w:p>
        </w:tc>
      </w:tr>
      <w:tr>
        <w:tc>
          <w:tcPr>
            <w:tcW w:type="dxa" w:w="1567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Lo âu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61,2%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9,3%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24,0%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12,6%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15,3%</w:t>
            </w:r>
          </w:p>
        </w:tc>
      </w:tr>
      <w:tr>
        <w:tc>
          <w:tcPr>
            <w:tcW w:type="dxa" w:w="1567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Trầm cảm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47,3%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15,8%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18,0%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8,5%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4,9%</w:t>
            </w:r>
          </w:p>
        </w:tc>
      </w:tr>
      <w:tr>
        <w:tc>
          <w:tcPr>
            <w:tcW w:type="dxa" w:w="1567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Stress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38,0%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12,8%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16,4%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11,5%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4,9%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Đồng mắc: 28,1% không có dấu hiệu, 24,6% có 1, 20,0% có 2, 27,3% có cả 3 triệu chứng.</w:t>
      </w:r>
    </w:p>
    <w:p>
      <w:pPr>
        <w:pStyle w:val="Heading2"/>
      </w:pPr>
      <w:r>
        <w:rPr>
          <w:rFonts w:ascii="Times New Roman" w:hAnsi="Times New Roman"/>
          <w:b/>
          <w:color w:val="FF0000"/>
        </w:rPr>
        <w:t>QUAN ĐIỂM PHẢN BIỆN / CRITICAL REVIEW</w:t>
      </w:r>
    </w:p>
    <w:p>
      <w:r>
        <w:rPr>
          <w:rFonts w:ascii="Times New Roman" w:hAnsi="Times New Roman"/>
          <w:b/>
          <w:color w:val="FF0000"/>
          <w:sz w:val="24"/>
        </w:rPr>
        <w:t>Điểm mạnh:</w:t>
      </w:r>
    </w:p>
    <w:p>
      <w:r>
        <w:rPr>
          <w:rFonts w:ascii="Times New Roman" w:hAnsi="Times New Roman"/>
          <w:b w:val="0"/>
          <w:color w:val="FF0000"/>
          <w:sz w:val="24"/>
        </w:rPr>
        <w:t>1. Vùng ĐBSCL — lấp khoảng trống địa lý. 2. Tỷ lệ giới cân bằng. 3. Phân tích đồng mắc.</w:t>
      </w:r>
    </w:p>
    <w:p>
      <w:r>
        <w:rPr>
          <w:rFonts w:ascii="Times New Roman" w:hAnsi="Times New Roman"/>
          <w:b/>
          <w:color w:val="FF0000"/>
          <w:sz w:val="24"/>
        </w:rPr>
        <w:t>Hạn chế:</w:t>
      </w:r>
    </w:p>
    <w:p>
      <w:r>
        <w:rPr>
          <w:rFonts w:ascii="Times New Roman" w:hAnsi="Times New Roman"/>
          <w:b w:val="0"/>
          <w:color w:val="FF0000"/>
          <w:sz w:val="24"/>
        </w:rPr>
        <w:t>1. 1 trường duy nhất. 2. Không phân tích yếu tố liên quan. 3. Bài ngắn. 4. Không lập chỉ mục QT.</w:t>
      </w:r>
    </w:p>
    <w:p>
      <w:r>
        <w:rPr>
          <w:rFonts w:ascii="Times New Roman" w:hAnsi="Times New Roman"/>
          <w:b/>
          <w:color w:val="FF0000"/>
          <w:sz w:val="24"/>
        </w:rPr>
        <w:t>Gap:</w:t>
      </w:r>
    </w:p>
    <w:p>
      <w:r>
        <w:rPr>
          <w:rFonts w:ascii="Times New Roman" w:hAnsi="Times New Roman"/>
          <w:b w:val="0"/>
          <w:color w:val="FF0000"/>
          <w:sz w:val="24"/>
        </w:rPr>
        <w:t>1. Mở rộng nhiều trường An Giang. 2. Phân tích hồi quy. 3. So sánh ĐBSCL với đô thị.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version/>
</cp:coreProperties>
</file>