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11</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 Nghiên cứu mô tả đánh giá trầm cảm, lo âu và căng thẳng ở học sinh trung học phổ thông các trường công lập tại Chandigarh, Ấn Độ » (A Descriptive Study to Assess Depression, Anxiety &amp; Stress among Higher Secondary Students of Government Schools of Chandigarh, India), do Ridhul Bhardwaj và cộng sự (2020), khảo sát trên 288 học sinh (13–21 tuổi, 72,9% nhóm 16–18) tại 5 trường công lập ở Chandigarh, xuất bản trên Journal of IPHA Chandigarh State Branch.</w:t>
      </w:r>
    </w:p>
    <w:p>
      <w:r>
        <w:rPr>
          <w:rFonts w:ascii="Times New Roman" w:hAnsi="Times New Roman"/>
          <w:b/>
          <w:color w:val="FF0000"/>
          <w:sz w:val="24"/>
        </w:rPr>
        <w:t>Phương pháp nghiên cứu</w:t>
      </w:r>
    </w:p>
    <w:p>
      <w:r>
        <w:rPr>
          <w:rFonts w:ascii="Times New Roman" w:hAnsi="Times New Roman"/>
          <w:b/>
          <w:color w:val="0070C0"/>
          <w:sz w:val="24"/>
        </w:rPr>
        <w:t>Công trình sử dụng DASS-21 (Thang đo Trầm cảm Lo âu Căng thẳng 21 mục, Lovibond &amp; Lovibond, 1995) để đánh giá đồng thời ba tình trạng. Nói cách khác, nghiên cứu mô tả cắt ngang sử dụng lấy mẫu xác suất tỷ lệ (probability proportionate sampling) từ 5 trường.</w:t>
      </w:r>
    </w:p>
    <w:p>
      <w:r>
        <w:rPr>
          <w:rFonts w:ascii="Times New Roman" w:hAnsi="Times New Roman"/>
          <w:b w:val="0"/>
          <w:color w:val="0070C0"/>
          <w:sz w:val="24"/>
        </w:rPr>
        <w:t>Pilot test trên 20 học sinh. Phân tích bằng chi-square, tương quan Pearson, ANOVA và t-test. Chấp thuận đạo đức đã được lấy.</w:t>
      </w:r>
    </w:p>
    <w:p>
      <w:r>
        <w:rPr>
          <w:rFonts w:ascii="Times New Roman" w:hAnsi="Times New Roman"/>
          <w:b/>
          <w:color w:val="FF0000"/>
          <w:sz w:val="24"/>
        </w:rPr>
        <w:t>Kết quả nghiên cứu định lượng</w:t>
      </w:r>
    </w:p>
    <w:p>
      <w:r>
        <w:rPr>
          <w:rFonts w:ascii="Times New Roman" w:hAnsi="Times New Roman"/>
          <w:b/>
          <w:color w:val="0070C0"/>
          <w:sz w:val="24"/>
        </w:rPr>
        <w:t>Tỷ lệ trầm cảm, lo âu, căng thẳng theo DASS-21 (N = 288):</w:t>
      </w:r>
    </w:p>
    <w:p>
      <w:r>
        <w:rPr>
          <w:b/>
          <w:sz w:val="22"/>
          <w:rFonts w:ascii="Times New Roman" w:hAnsi="Times New Roman"/>
        </w:rPr>
        <w:t>Bảng 1. Tỷ lệ DASS-21 Chandigarh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Tình trạng</w:t>
            </w:r>
          </w:p>
        </w:tc>
        <w:tc>
          <w:tcPr>
            <w:tcW w:type="dxa" w:w="2351"/>
            <w:tcW w:w="1417" w:type="dxa"/>
            <w:shd w:fill="D9E2F3" w:val="clear"/>
          </w:tcPr>
          <w:p>
            <w:pPr>
              <w:jc w:val="center"/>
            </w:pPr>
            <w:r>
              <w:rPr>
                <w:rFonts w:ascii="Times New Roman" w:hAnsi="Times New Roman"/>
                <w:b/>
                <w:sz w:val="20"/>
              </w:rPr>
              <w:t>Tỷ lệ tổng</w:t>
            </w:r>
          </w:p>
        </w:tc>
        <w:tc>
          <w:tcPr>
            <w:tcW w:type="dxa" w:w="2351"/>
            <w:tcW w:w="1701" w:type="dxa"/>
            <w:shd w:fill="D9E2F3" w:val="clear"/>
          </w:tcPr>
          <w:p>
            <w:pPr>
              <w:jc w:val="center"/>
            </w:pPr>
            <w:r>
              <w:rPr>
                <w:rFonts w:ascii="Times New Roman" w:hAnsi="Times New Roman"/>
                <w:b/>
                <w:sz w:val="20"/>
              </w:rPr>
              <w:t>Điểm TB</w:t>
            </w:r>
          </w:p>
        </w:tc>
        <w:tc>
          <w:tcPr>
            <w:tcW w:type="dxa" w:w="2351"/>
            <w:tcW w:w="1701" w:type="dxa"/>
            <w:shd w:fill="D9E2F3" w:val="clear"/>
          </w:tcPr>
          <w:p>
            <w:pPr>
              <w:jc w:val="center"/>
            </w:pPr>
            <w:r>
              <w:rPr>
                <w:rFonts w:ascii="Times New Roman" w:hAnsi="Times New Roman"/>
                <w:b/>
                <w:sz w:val="20"/>
              </w:rPr>
              <w:t>Nặng+Cực nặng</w:t>
            </w:r>
          </w:p>
        </w:tc>
      </w:tr>
      <w:tr>
        <w:tc>
          <w:tcPr>
            <w:tcW w:type="dxa" w:w="2351"/>
            <w:tcW w:w="1701" w:type="dxa"/>
          </w:tcPr>
          <w:p>
            <w:r>
              <w:rPr>
                <w:rFonts w:ascii="Times New Roman" w:hAnsi="Times New Roman"/>
                <w:sz w:val="20"/>
              </w:rPr>
              <w:t>Lo âu</w:t>
            </w:r>
          </w:p>
        </w:tc>
        <w:tc>
          <w:tcPr>
            <w:tcW w:type="dxa" w:w="2351"/>
            <w:tcW w:w="1417" w:type="dxa"/>
          </w:tcPr>
          <w:p>
            <w:r>
              <w:rPr>
                <w:rFonts w:ascii="Times New Roman" w:hAnsi="Times New Roman"/>
                <w:sz w:val="20"/>
              </w:rPr>
              <w:t>81,9%</w:t>
            </w:r>
          </w:p>
        </w:tc>
        <w:tc>
          <w:tcPr>
            <w:tcW w:type="dxa" w:w="2351"/>
            <w:tcW w:w="1701" w:type="dxa"/>
          </w:tcPr>
          <w:p>
            <w:r>
              <w:rPr>
                <w:rFonts w:ascii="Times New Roman" w:hAnsi="Times New Roman"/>
                <w:sz w:val="20"/>
              </w:rPr>
              <w:t>14,09 ± 6,7</w:t>
            </w:r>
          </w:p>
        </w:tc>
        <w:tc>
          <w:tcPr>
            <w:tcW w:type="dxa" w:w="2351"/>
            <w:tcW w:w="1701" w:type="dxa"/>
          </w:tcPr>
          <w:p>
            <w:r>
              <w:rPr>
                <w:rFonts w:ascii="Times New Roman" w:hAnsi="Times New Roman"/>
                <w:sz w:val="20"/>
              </w:rPr>
              <w:t>46,8%</w:t>
            </w:r>
          </w:p>
        </w:tc>
      </w:tr>
      <w:tr>
        <w:tc>
          <w:tcPr>
            <w:tcW w:type="dxa" w:w="2351"/>
            <w:tcW w:w="1701" w:type="dxa"/>
          </w:tcPr>
          <w:p>
            <w:r>
              <w:rPr>
                <w:rFonts w:ascii="Times New Roman" w:hAnsi="Times New Roman"/>
                <w:sz w:val="20"/>
              </w:rPr>
              <w:t>Trầm cảm</w:t>
            </w:r>
          </w:p>
        </w:tc>
        <w:tc>
          <w:tcPr>
            <w:tcW w:type="dxa" w:w="2351"/>
            <w:tcW w:w="1417" w:type="dxa"/>
          </w:tcPr>
          <w:p>
            <w:r>
              <w:rPr>
                <w:rFonts w:ascii="Times New Roman" w:hAnsi="Times New Roman"/>
                <w:sz w:val="20"/>
              </w:rPr>
              <w:t>64,9%</w:t>
            </w:r>
          </w:p>
        </w:tc>
        <w:tc>
          <w:tcPr>
            <w:tcW w:type="dxa" w:w="2351"/>
            <w:tcW w:w="1701" w:type="dxa"/>
          </w:tcPr>
          <w:p>
            <w:r>
              <w:rPr>
                <w:rFonts w:ascii="Times New Roman" w:hAnsi="Times New Roman"/>
                <w:sz w:val="20"/>
              </w:rPr>
              <w:t>13,05 ± 7,2</w:t>
            </w:r>
          </w:p>
        </w:tc>
        <w:tc>
          <w:tcPr>
            <w:tcW w:type="dxa" w:w="2351"/>
            <w:tcW w:w="1701" w:type="dxa"/>
          </w:tcPr>
          <w:p>
            <w:r>
              <w:rPr>
                <w:rFonts w:ascii="Times New Roman" w:hAnsi="Times New Roman"/>
                <w:sz w:val="20"/>
              </w:rPr>
              <w:t>16,3%</w:t>
            </w:r>
          </w:p>
        </w:tc>
      </w:tr>
      <w:tr>
        <w:tc>
          <w:tcPr>
            <w:tcW w:type="dxa" w:w="2351"/>
            <w:tcW w:w="1701" w:type="dxa"/>
          </w:tcPr>
          <w:p>
            <w:r>
              <w:rPr>
                <w:rFonts w:ascii="Times New Roman" w:hAnsi="Times New Roman"/>
                <w:sz w:val="20"/>
              </w:rPr>
              <w:t>Căng thẳng</w:t>
            </w:r>
          </w:p>
        </w:tc>
        <w:tc>
          <w:tcPr>
            <w:tcW w:type="dxa" w:w="2351"/>
            <w:tcW w:w="1417" w:type="dxa"/>
          </w:tcPr>
          <w:p>
            <w:r>
              <w:rPr>
                <w:rFonts w:ascii="Times New Roman" w:hAnsi="Times New Roman"/>
                <w:sz w:val="20"/>
              </w:rPr>
              <w:t>55,2%</w:t>
            </w:r>
          </w:p>
        </w:tc>
        <w:tc>
          <w:tcPr>
            <w:tcW w:type="dxa" w:w="2351"/>
            <w:tcW w:w="1701" w:type="dxa"/>
          </w:tcPr>
          <w:p>
            <w:r>
              <w:rPr>
                <w:rFonts w:ascii="Times New Roman" w:hAnsi="Times New Roman"/>
                <w:sz w:val="20"/>
              </w:rPr>
              <w:t>15,6 ± 7,1</w:t>
            </w:r>
          </w:p>
        </w:tc>
        <w:tc>
          <w:tcPr>
            <w:tcW w:type="dxa" w:w="2351"/>
            <w:tcW w:w="1701" w:type="dxa"/>
          </w:tcPr>
          <w:p>
            <w:r>
              <w:rPr>
                <w:rFonts w:ascii="Times New Roman" w:hAnsi="Times New Roman"/>
                <w:sz w:val="20"/>
              </w:rPr>
              <w:t>8,6%</w:t>
            </w:r>
          </w:p>
        </w:tc>
      </w:tr>
    </w:tbl>
    <w:p/>
    <w:p>
      <w:r>
        <w:rPr>
          <w:rFonts w:ascii="Times New Roman" w:hAnsi="Times New Roman"/>
          <w:b/>
          <w:color w:val="0070C0"/>
          <w:sz w:val="24"/>
        </w:rPr>
        <w:t>Mối liên quan giữa ba tình trạng:</w:t>
      </w:r>
    </w:p>
    <w:p>
      <w:r>
        <w:rPr>
          <w:b/>
          <w:sz w:val="22"/>
          <w:rFonts w:ascii="Times New Roman" w:hAnsi="Times New Roman"/>
        </w:rPr>
        <w:t>Bảng 2. So sánh</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551" w:type="dxa"/>
            <w:shd w:fill="D9E2F3" w:val="clear"/>
          </w:tcPr>
          <w:p>
            <w:pPr>
              <w:jc w:val="center"/>
            </w:pPr>
            <w:r>
              <w:rPr>
                <w:rFonts w:ascii="Times New Roman" w:hAnsi="Times New Roman"/>
                <w:b/>
                <w:sz w:val="20"/>
              </w:rPr>
              <w:t>Cặp liên quan</w:t>
            </w:r>
          </w:p>
        </w:tc>
        <w:tc>
          <w:tcPr>
            <w:tcW w:type="dxa" w:w="3135"/>
            <w:tcW w:w="1417" w:type="dxa"/>
            <w:shd w:fill="D9E2F3" w:val="clear"/>
          </w:tcPr>
          <w:p>
            <w:pPr>
              <w:jc w:val="center"/>
            </w:pPr>
            <w:r>
              <w:rPr>
                <w:rFonts w:ascii="Times New Roman" w:hAnsi="Times New Roman"/>
                <w:b/>
                <w:sz w:val="20"/>
              </w:rPr>
              <w:t>OR</w:t>
            </w:r>
          </w:p>
        </w:tc>
        <w:tc>
          <w:tcPr>
            <w:tcW w:type="dxa" w:w="3135"/>
            <w:tcW w:w="2268" w:type="dxa"/>
            <w:shd w:fill="D9E2F3" w:val="clear"/>
          </w:tcPr>
          <w:p>
            <w:pPr>
              <w:jc w:val="center"/>
            </w:pPr>
            <w:r>
              <w:rPr>
                <w:rFonts w:ascii="Times New Roman" w:hAnsi="Times New Roman"/>
                <w:b/>
                <w:sz w:val="20"/>
              </w:rPr>
              <w:t>Tương quan Pearson r</w:t>
            </w:r>
          </w:p>
        </w:tc>
      </w:tr>
      <w:tr>
        <w:tc>
          <w:tcPr>
            <w:tcW w:type="dxa" w:w="3135"/>
            <w:tcW w:w="2551" w:type="dxa"/>
          </w:tcPr>
          <w:p>
            <w:r>
              <w:rPr>
                <w:rFonts w:ascii="Times New Roman" w:hAnsi="Times New Roman"/>
                <w:sz w:val="20"/>
              </w:rPr>
              <w:t>Căng thẳng ↔ Trầm cảm</w:t>
            </w:r>
          </w:p>
        </w:tc>
        <w:tc>
          <w:tcPr>
            <w:tcW w:type="dxa" w:w="3135"/>
            <w:tcW w:w="1417" w:type="dxa"/>
          </w:tcPr>
          <w:p>
            <w:r>
              <w:rPr>
                <w:rFonts w:ascii="Times New Roman" w:hAnsi="Times New Roman"/>
                <w:sz w:val="20"/>
              </w:rPr>
              <w:t>17,26</w:t>
            </w:r>
          </w:p>
        </w:tc>
        <w:tc>
          <w:tcPr>
            <w:tcW w:type="dxa" w:w="3135"/>
            <w:tcW w:w="2268" w:type="dxa"/>
          </w:tcPr>
          <w:p>
            <w:r>
              <w:rPr>
                <w:rFonts w:ascii="Times New Roman" w:hAnsi="Times New Roman"/>
                <w:sz w:val="20"/>
              </w:rPr>
              <w:t>0,664</w:t>
            </w:r>
          </w:p>
        </w:tc>
      </w:tr>
      <w:tr>
        <w:tc>
          <w:tcPr>
            <w:tcW w:type="dxa" w:w="3135"/>
            <w:tcW w:w="2551" w:type="dxa"/>
          </w:tcPr>
          <w:p>
            <w:r>
              <w:rPr>
                <w:rFonts w:ascii="Times New Roman" w:hAnsi="Times New Roman"/>
                <w:sz w:val="20"/>
              </w:rPr>
              <w:t>Lo âu ↔ Trầm cảm</w:t>
            </w:r>
          </w:p>
        </w:tc>
        <w:tc>
          <w:tcPr>
            <w:tcW w:type="dxa" w:w="3135"/>
            <w:tcW w:w="1417" w:type="dxa"/>
          </w:tcPr>
          <w:p>
            <w:r>
              <w:rPr>
                <w:rFonts w:ascii="Times New Roman" w:hAnsi="Times New Roman"/>
                <w:sz w:val="20"/>
              </w:rPr>
              <w:t>10,93</w:t>
            </w:r>
          </w:p>
        </w:tc>
        <w:tc>
          <w:tcPr>
            <w:tcW w:type="dxa" w:w="3135"/>
            <w:tcW w:w="2268" w:type="dxa"/>
          </w:tcPr>
          <w:p>
            <w:r>
              <w:rPr>
                <w:rFonts w:ascii="Times New Roman" w:hAnsi="Times New Roman"/>
                <w:sz w:val="20"/>
              </w:rPr>
              <w:t>0,617</w:t>
            </w:r>
          </w:p>
        </w:tc>
      </w:tr>
      <w:tr>
        <w:tc>
          <w:tcPr>
            <w:tcW w:type="dxa" w:w="3135"/>
            <w:tcW w:w="2551" w:type="dxa"/>
          </w:tcPr>
          <w:p>
            <w:r>
              <w:rPr>
                <w:rFonts w:ascii="Times New Roman" w:hAnsi="Times New Roman"/>
                <w:sz w:val="20"/>
              </w:rPr>
              <w:t>Lo âu ↔ Căng thẳng</w:t>
            </w:r>
          </w:p>
        </w:tc>
        <w:tc>
          <w:tcPr>
            <w:tcW w:type="dxa" w:w="3135"/>
            <w:tcW w:w="1417" w:type="dxa"/>
          </w:tcPr>
          <w:p>
            <w:r>
              <w:rPr>
                <w:rFonts w:ascii="Times New Roman" w:hAnsi="Times New Roman"/>
                <w:sz w:val="20"/>
              </w:rPr>
              <w:t>9,77</w:t>
            </w:r>
          </w:p>
        </w:tc>
        <w:tc>
          <w:tcPr>
            <w:tcW w:type="dxa" w:w="3135"/>
            <w:tcW w:w="2268" w:type="dxa"/>
          </w:tcPr>
          <w:p>
            <w:r>
              <w:rPr>
                <w:rFonts w:ascii="Times New Roman" w:hAnsi="Times New Roman"/>
                <w:sz w:val="20"/>
              </w:rPr>
              <w:t>0,575</w:t>
            </w:r>
          </w:p>
        </w:tc>
      </w:tr>
    </w:tbl>
    <w:p/>
    <w:p>
      <w:pPr>
        <w:pStyle w:val="Heading3"/>
      </w:pPr>
      <w:r>
        <w:rPr>
          <w:rFonts w:ascii="Times New Roman" w:hAnsi="Times New Roman"/>
          <w:color w:val="0070C0"/>
        </w:rPr>
        <w:t>Khác biệt giới tính : Nữ có tỷ lệ lo âu nặng + cực nặng 63,7% so với nam 36,0% (P &lt; 0,001) — chênh lệch lớn nhất trong 11 bài. Trầm cảm: nữ 23,9% nặng vs nam 11,4% (P = 0,04). Căng thẳng: nữ 44,2% trung bình/nặng vs nam 23,3% (P &lt; 0,001).</w:t>
      </w:r>
    </w:p>
    <w:p>
      <w:r>
        <w:rPr>
          <w:rFonts w:ascii="Times New Roman" w:hAnsi="Times New Roman"/>
          <w:b/>
          <w:color w:val="FF0000"/>
          <w:sz w:val="24"/>
        </w:rPr>
        <w:t>Nhận xét, phát hiện qua kết quả nghiên cứu</w:t>
      </w:r>
    </w:p>
    <w:p>
      <w:r>
        <w:rPr>
          <w:rFonts w:ascii="Times New Roman" w:hAnsi="Times New Roman"/>
          <w:b w:val="0"/>
          <w:color w:val="0070C0"/>
          <w:sz w:val="24"/>
        </w:rPr>
        <w:t>*Tỷ lệ lo âu CAO NHẤT trong 11 bài* (81,9%). DASS-21 với ngưỡng cắt thấp (≥8 cho lo âu) dẫn đến tỷ lệ rất cao khi bao gồm cả mức "nhẹ". Nếu chỉ tính nặng + cực nặng (46,8%), tỷ lệ vẫn rất đáng báo động.</w:t>
      </w:r>
    </w:p>
    <w:p>
      <w:r>
        <w:rPr>
          <w:rFonts w:ascii="Times New Roman" w:hAnsi="Times New Roman"/>
          <w:b w:val="0"/>
          <w:color w:val="0070C0"/>
          <w:sz w:val="24"/>
        </w:rPr>
        <w:t>*Đồng mắc rất cao.* OR giữa các cặp rối loạn từ 9,77 đến 17,26, xác nhận sự chồng chéo mạnh giữa trầm cảm, lo âu và căng thẳng — gợi ý sàng lọc cả 3 tình trạng đồng thời.</w:t>
      </w:r>
    </w:p>
    <w:p>
      <w:r>
        <w:rPr>
          <w:rFonts w:ascii="Times New Roman" w:hAnsi="Times New Roman"/>
          <w:b/>
          <w:color w:val="FF0000"/>
          <w:sz w:val="24"/>
        </w:rPr>
        <w:t>Kết luận</w:t>
      </w:r>
    </w:p>
    <w:p>
      <w:r>
        <w:rPr>
          <w:rFonts w:ascii="Times New Roman" w:hAnsi="Times New Roman"/>
          <w:b/>
          <w:color w:val="0070C0"/>
          <w:sz w:val="24"/>
        </w:rPr>
        <w:t>Lo âu 81,9%, trầm cảm 64,9%, căng thẳng 55,2% ở 288 học sinh trường công Chandigarh — tỷ lệ cao nhất trong 11 bài. Nữ bị ảnh hưởng nặng hơn nam ở cả 3 tình trạng. Đồng mắc rất cao (OR = 9,77–17,26). Cần tăng cường nhận thức của giáo viên và phụ huynh về nguồn căng thẳng ngoài học tập, và mở rộng đánh giá SKTT ra nhiều lĩnh vực.</w:t>
      </w:r>
    </w:p>
    <w:p>
      <w:pPr>
        <w:pStyle w:val="Heading2"/>
      </w:pPr>
      <w:r>
        <w:rPr>
          <w:rFonts w:ascii="Times New Roman" w:hAnsi="Times New Roman"/>
          <w:color w:val="FF0000"/>
        </w:rPr>
        <w:t>Phản biện</w:t>
      </w:r>
    </w:p>
    <w:p>
      <w:r>
        <w:rPr>
          <w:rFonts w:ascii="Times New Roman" w:hAnsi="Times New Roman"/>
          <w:b w:val="0"/>
          <w:color w:val="0070C0"/>
          <w:sz w:val="24"/>
        </w:rPr>
        <w:t>Tạp chí Journal of IPHA Chandigarh State Branch là tạp chí cấp chi nhánh địa phương, không có impact factor, không được lập chỉ mục PubMed/Scopus. Cỡ mẫu nhỏ (288), chỉ 5 trường công lập. Tỷ lệ 81,9% lo âu cao bất thường — có thể do ngưỡng cắt thấp hoặc đặc thù mẫu. Chỉ dùng chi-square đơn biến, không có hồi quy đa biến (AOR). Pilot test chỉ 20 học sinh.</w:t>
      </w:r>
    </w:p>
    <w:p>
      <w:pPr>
        <w:pStyle w:val="Heading2"/>
      </w:pPr>
      <w:r>
        <w:rPr>
          <w:rFonts w:ascii="Times New Roman" w:hAnsi="Times New Roman"/>
          <w:color w:val="FF0000"/>
        </w:rPr>
        <w:t>Hướng nghiên cứu tiếp theo</w:t>
      </w:r>
    </w:p>
    <w:p>
      <w:r>
        <w:rPr>
          <w:rFonts w:ascii="Times New Roman" w:hAnsi="Times New Roman"/>
          <w:b w:val="0"/>
          <w:color w:val="0070C0"/>
          <w:sz w:val="24"/>
        </w:rPr>
        <w:t>Tái lặp với cỡ mẫu lớn hơn, bao gồm cả trường tư thục. Sử dụng hồi quy đa biến để xác định yếu tố nguy cơ độc lập. So sánh DASS-21 với công cụ chẩn đoán trên cùng mẫu. Xuất bản trên tạp chí có chỉ mục quốc tế.</w:t>
      </w:r>
    </w:p>
    <w:p/>
    <w:p>
      <w:r>
        <w:rPr>
          <w:rFonts w:ascii="Times New Roman" w:hAnsi="Times New Roman"/>
          <w:b/>
          <w:sz w:val="24"/>
        </w:rPr>
        <w:t>Đánh giá chất lượng: ⭐⭐ Thấp-Trung bình. DASS-21 xác thực nhưng tạp chí không chỉ mục, cỡ mẫu nhỏ, thiếu phân tích đa biến.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