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1F4E79"/>
          <w:sz w:val="30"/>
        </w:rPr>
        <w:t>OUTLINE IMRaD — BÀI Q3</w:t>
      </w:r>
    </w:p>
    <w:p>
      <w:pPr>
        <w:spacing w:before="400" w:after="240"/>
        <w:jc w:val="center"/>
      </w:pPr>
      <w:r>
        <w:rPr>
          <w:rFonts w:ascii="Times New Roman" w:hAnsi="Times New Roman"/>
          <w:b/>
          <w:color w:val="1F4E79"/>
          <w:sz w:val="30"/>
        </w:rPr>
        <w:t>Gender-specific pathways to anxiety disorders in early adolescence: A multi-group SEM in Vietnamese lower secondary students</w:t>
      </w:r>
    </w:p>
    <w:p>
      <w:pPr>
        <w:jc w:val="center"/>
      </w:pPr>
      <w:r>
        <w:rPr>
          <w:rFonts w:ascii="Times New Roman" w:hAnsi="Times New Roman"/>
          <w:i/>
          <w:sz w:val="24"/>
        </w:rPr>
        <w:t>Đường dẫn đặc thù theo giới đến các rối loạn lo âu ở đầu vị thành niên: Mô hình phương trình cấu trúc đa nhóm trên học sinh trung học cơ sở Việt Nam</w:t>
      </w:r>
    </w:p>
    <w:p>
      <w:pPr>
        <w:jc w:val="center"/>
      </w:pPr>
      <w:r>
        <w:rPr>
          <w:rFonts w:ascii="Times New Roman" w:hAnsi="Times New Roman"/>
          <w:i/>
          <w:color w:val="808080"/>
          <w:sz w:val="20"/>
        </w:rPr>
        <w:t>Outline song ngữ Anh-Việt v1 — soạn 08/06/2026</w:t>
      </w:r>
    </w:p>
    <w:p>
      <w:pPr>
        <w:spacing w:before="120" w:after="120"/>
        <w:ind w:left="283" w:right="283"/>
      </w:pPr>
      <w:r>
        <w:rPr>
          <w:rFonts w:ascii="Times New Roman" w:hAnsi="Times New Roman"/>
          <w:b/>
          <w:color w:val="006E2E"/>
          <w:sz w:val="20"/>
        </w:rPr>
        <w:t>[NOTE TO NCS + co-authors] This is an IMRaD outline (structure + key claims, not full prose). Authors: Cong TH (1st), [Nguyen MD], Hai-Nguyen Minh. Target journal: Frontiers in Psychiatry (Adolescent and Young Adult Psychiatry section) OR BMC Public Health. Word target full draft: 7,000-9,000.</w:t>
      </w:r>
    </w:p>
    <w:p>
      <w:pPr>
        <w:spacing w:after="200"/>
        <w:ind w:left="283" w:right="283"/>
      </w:pPr>
      <w:r>
        <w:rPr>
          <w:rFonts w:ascii="Times New Roman" w:hAnsi="Times New Roman"/>
          <w:b/>
          <w:i/>
          <w:color w:val="006E2E"/>
          <w:sz w:val="20"/>
        </w:rPr>
        <w:t>[GHI CHÚ cho NCS + đồng tác giả] Đây là outline IMRaD (cấu trúc + luận điểm chính, không phải bản thảo đầy đủ). Tác giả: Công TH (chủ trì), [Nguyễn MD], Hải-Nguyễn Minh. Tạp chí đích: Frontiers in Psychiatry (section Adolescent and Young Adult Psychiatry) HOẶC BMC Public Health. Mục tiêu word count cho draft đầy đủ: 7.000-9.000 từ.</w:t>
      </w:r>
    </w:p>
    <w:p>
      <w:pPr>
        <w:spacing w:before="320" w:after="160"/>
      </w:pPr>
      <w:r>
        <w:rPr>
          <w:rFonts w:ascii="Times New Roman" w:hAnsi="Times New Roman"/>
          <w:b/>
          <w:color w:val="C00000"/>
          <w:sz w:val="28"/>
        </w:rPr>
        <w:t>ABSTRACT (300 words target)</w:t>
      </w:r>
    </w:p>
    <w:p>
      <w:pPr>
        <w:spacing w:before="200" w:after="80"/>
      </w:pPr>
      <w:r>
        <w:rPr>
          <w:rFonts w:ascii="Times New Roman" w:hAnsi="Times New Roman"/>
          <w:b/>
          <w:color w:val="2E74B5"/>
          <w:sz w:val="24"/>
        </w:rPr>
        <w:t>Background</w:t>
      </w:r>
    </w:p>
    <w:p>
      <w:pPr>
        <w:spacing w:after="80"/>
        <w:ind w:firstLine="283"/>
        <w:jc w:val="both"/>
      </w:pPr>
      <w:r>
        <w:rPr>
          <w:rFonts w:ascii="Times New Roman" w:hAnsi="Times New Roman"/>
          <w:sz w:val="22"/>
        </w:rPr>
        <w:t>Adolescent anxiety disorders are more common in girls than boys globally, but the magnitude of this gender gap varies by developmental stage and cultural context. The largest cross-national study to date (Jefferies &amp; Ungar 2020, N = 6,825 in 7 countries) found no overall gender difference in social anxiety among young adults aged 16-29, yet our preliminary data in Vietnamese lower secondary students show female-higher scores on Social Anxiety Disorder (SAD). This raises a key research question: are the entire risk-protective SEM pathways invariant across gender in early adolescence?</w:t>
      </w:r>
    </w:p>
    <w:p>
      <w:pPr>
        <w:spacing w:after="160"/>
        <w:ind w:firstLine="283" w:left="170"/>
        <w:jc w:val="both"/>
      </w:pPr>
      <w:r>
        <w:rPr>
          <w:rFonts w:ascii="Times New Roman" w:hAnsi="Times New Roman"/>
          <w:i/>
          <w:color w:val="333333"/>
          <w:sz w:val="22"/>
        </w:rPr>
        <w:t>Các rối loạn lo âu ở vị thành niên xảy ra phổ biến hơn ở nữ so với nam trên toàn cầu, nhưng độ lớn của khác biệt này thay đổi theo giai đoạn phát triển và bối cảnh văn hóa. Nghiên cứu xuyên quốc gia lớn nhất đến nay (Jefferies &amp; Ungar 2020, N = 6.825 ở 7 quốc gia) không phát hiện khác biệt giới về lo âu xã hội ở thanh niên 16-29 tuổi, nhưng dữ liệu sơ bộ của chúng tôi trên học sinh trung học cơ sở Việt Nam cho thấy điểm SAD của nữ cao hơn nam. Câu hỏi nghiên cứu cốt lõi: liệu toàn bộ các đường dẫn của mô hình SEM nguy cơ-bảo vệ có bất biến theo giới ở đầu vị thành niên không?</w:t>
      </w:r>
    </w:p>
    <w:p>
      <w:pPr>
        <w:spacing w:before="200" w:after="80"/>
      </w:pPr>
      <w:r>
        <w:rPr>
          <w:rFonts w:ascii="Times New Roman" w:hAnsi="Times New Roman"/>
          <w:b/>
          <w:color w:val="2E74B5"/>
          <w:sz w:val="24"/>
        </w:rPr>
        <w:t>Methods</w:t>
      </w:r>
    </w:p>
    <w:p>
      <w:pPr>
        <w:spacing w:after="80"/>
        <w:ind w:firstLine="283"/>
        <w:jc w:val="both"/>
      </w:pPr>
      <w:r>
        <w:rPr>
          <w:rFonts w:ascii="Times New Roman" w:hAnsi="Times New Roman"/>
          <w:sz w:val="22"/>
        </w:rPr>
        <w:t>Cross-sectional survey of 1,352 Vietnamese lower secondary students (614 boys, 738 girls; ages 11-14) from two purposively selected schools in Hanoi (Nhat Tan urban, Tay Mo suburban). Eight validated scales measured three risk factors (bullying, academic stress, smartphone addiction), four protective factors (school membership, parental support, peer support, self-esteem), and three anxiety subtypes (GAD, SAD, SocAD). Multi-group SEM tested configural, metric, and scalar measurement invariance, then structural invariance of all 21 pathways, using ΔCFI ≤ 0.01 (Cheung &amp; Rensvold 2002) and ΔRMSEA ≤ 0.015.</w:t>
      </w:r>
    </w:p>
    <w:p>
      <w:pPr>
        <w:spacing w:after="160"/>
        <w:ind w:firstLine="283" w:left="170"/>
        <w:jc w:val="both"/>
      </w:pPr>
      <w:r>
        <w:rPr>
          <w:rFonts w:ascii="Times New Roman" w:hAnsi="Times New Roman"/>
          <w:i/>
          <w:color w:val="333333"/>
          <w:sz w:val="22"/>
        </w:rPr>
        <w:t>Khảo sát cắt ngang 1.352 học sinh THCS Việt Nam (614 nam, 738 nữ; 11-14 tuổi) từ hai trường được chọn có chủ đích tại Hà Nội (Nhật Tân — đô thị, Tây Mỗ — ngoại ô). Tám thang đo đã được chuẩn hóa đo ba yếu tố nguy cơ (bắt nạt, áp lực học tập, nghiện điện thoại), bốn yếu tố bảo vệ (gắn bó trường, hỗ trợ cha mẹ, hỗ trợ bạn bè, tự trọng), và ba phân loại lo âu (GAD, SAD, SocAD). SEM đa nhóm kiểm chứng bất biến đo lường ở cấp cấu hình, metric, scalar, sau đó kiểm chứng bất biến cấu trúc của toàn bộ 21 đường dẫn, sử dụng ΔCFI ≤ 0,01 (Cheung &amp; Rensvold 2002) và ΔRMSEA ≤ 0,015.</w:t>
      </w:r>
    </w:p>
    <w:p>
      <w:pPr>
        <w:spacing w:before="200" w:after="80"/>
      </w:pPr>
      <w:r>
        <w:rPr>
          <w:rFonts w:ascii="Times New Roman" w:hAnsi="Times New Roman"/>
          <w:b/>
          <w:color w:val="2E74B5"/>
          <w:sz w:val="24"/>
        </w:rPr>
        <w:t>Results (planned)</w:t>
      </w:r>
    </w:p>
    <w:p>
      <w:pPr>
        <w:spacing w:after="80"/>
        <w:ind w:firstLine="283"/>
        <w:jc w:val="both"/>
      </w:pPr>
      <w:r>
        <w:rPr>
          <w:rFonts w:ascii="Times New Roman" w:hAnsi="Times New Roman"/>
          <w:sz w:val="22"/>
        </w:rPr>
        <w:t>We expect to confirm measurement invariance at all three levels (supporting valid gender comparison). For structural invariance, we anticipate identifying a subset of non-invariant pathways — particularly bullying → SAD (β stronger in girls per preliminary data, p &lt; .001) and possibly self-esteem → GAD. Effect sizes and 95% CIs will be reported for all 21 pathways stratified by gender.</w:t>
      </w:r>
    </w:p>
    <w:p>
      <w:pPr>
        <w:spacing w:after="160"/>
        <w:ind w:firstLine="283" w:left="170"/>
        <w:jc w:val="both"/>
      </w:pPr>
      <w:r>
        <w:rPr>
          <w:rFonts w:ascii="Times New Roman" w:hAnsi="Times New Roman"/>
          <w:i/>
          <w:color w:val="333333"/>
          <w:sz w:val="22"/>
        </w:rPr>
        <w:t>Chúng tôi kỳ vọng khẳng định bất biến đo lường ở cả ba cấp (hỗ trợ so sánh giới hợp lệ). Với bất biến cấu trúc, dự đoán nhận diện được một tập con các đường dẫn không bất biến — đặc biệt bắt nạt → SAD (β mạnh hơn ở nữ theo dữ liệu sơ bộ, p &lt; 0,001) và có thể tự trọng → GAD. Hệ số effect size và CI 95% sẽ được báo cáo cho cả 21 đường dẫn phân tầng theo giới.</w:t>
      </w:r>
    </w:p>
    <w:p>
      <w:pPr>
        <w:spacing w:before="200" w:after="80"/>
      </w:pPr>
      <w:r>
        <w:rPr>
          <w:rFonts w:ascii="Times New Roman" w:hAnsi="Times New Roman"/>
          <w:b/>
          <w:color w:val="2E74B5"/>
          <w:sz w:val="24"/>
        </w:rPr>
        <w:t>Conclusions (planned)</w:t>
      </w:r>
    </w:p>
    <w:p>
      <w:pPr>
        <w:spacing w:after="80"/>
        <w:ind w:firstLine="283"/>
        <w:jc w:val="both"/>
      </w:pPr>
      <w:r>
        <w:rPr>
          <w:rFonts w:ascii="Times New Roman" w:hAnsi="Times New Roman"/>
          <w:sz w:val="22"/>
        </w:rPr>
        <w:t>The findings will inform gender-tailored prevention programs and reconcile the discrepancy between our sample and Jefferies &amp; Ungar (2020) via a developmental-cultural framework drawing on Hankin (2007), McLean &amp; Anderson (2009), Rose (2002), Stankov (2010), and Small &amp; Blanc (2021).</w:t>
      </w:r>
    </w:p>
    <w:p>
      <w:pPr>
        <w:spacing w:after="160"/>
        <w:ind w:firstLine="283" w:left="170"/>
        <w:jc w:val="both"/>
      </w:pPr>
      <w:r>
        <w:rPr>
          <w:rFonts w:ascii="Times New Roman" w:hAnsi="Times New Roman"/>
          <w:i/>
          <w:color w:val="333333"/>
          <w:sz w:val="22"/>
        </w:rPr>
        <w:t>Các phát hiện sẽ cung cấp thông tin cho chương trình phòng ngừa đặc thù giới và lý giải sự không nhất quán giữa mẫu nghiên cứu của chúng tôi với Jefferies &amp; Ungar (2020) thông qua khung phát triển-văn hóa dựa trên Hankin (2007), McLean &amp; Anderson (2009), Rose (2002), Stankov (2010), Small &amp; Blanc (2021).</w:t>
      </w:r>
    </w:p>
    <w:p>
      <w:pPr>
        <w:spacing w:before="320" w:after="160"/>
      </w:pPr>
      <w:r>
        <w:rPr>
          <w:rFonts w:ascii="Times New Roman" w:hAnsi="Times New Roman"/>
          <w:b/>
          <w:color w:val="C00000"/>
          <w:sz w:val="28"/>
        </w:rPr>
        <w:t>1. INTRODUCTION (target 1,000-1,200 words full draft)</w:t>
      </w:r>
    </w:p>
    <w:p>
      <w:pPr>
        <w:spacing w:before="200" w:after="80"/>
      </w:pPr>
      <w:r>
        <w:rPr>
          <w:rFonts w:ascii="Times New Roman" w:hAnsi="Times New Roman"/>
          <w:b/>
          <w:color w:val="2E74B5"/>
          <w:sz w:val="24"/>
        </w:rPr>
        <w:t>1.1 — The gender paradox in adolescent anxiety</w:t>
      </w:r>
    </w:p>
    <w:p>
      <w:pPr>
        <w:spacing w:after="80"/>
        <w:ind w:firstLine="283"/>
        <w:jc w:val="both"/>
      </w:pPr>
      <w:r>
        <w:rPr>
          <w:rFonts w:ascii="Times New Roman" w:hAnsi="Times New Roman"/>
          <w:sz w:val="22"/>
        </w:rPr>
        <w:t>Open with the global epidemiological finding: girls show higher rates of anxiety disorders than boys in most international studies, with the gap emerging around puberty (McLean &amp; Anderson 2009; Hankin et al. 2007). Cite Kessler et al. 2005 on age-of-onset (half of all anxiety begins by age 14). State the puzzle: this finding does NOT replicate in some recent large-N cross-national studies (Jefferies &amp; Ungar 2020 — N = 6,825 in 7 countries, no overall gender effect).</w:t>
      </w:r>
    </w:p>
    <w:p>
      <w:pPr>
        <w:spacing w:after="160"/>
        <w:ind w:firstLine="283" w:left="170"/>
        <w:jc w:val="both"/>
      </w:pPr>
      <w:r>
        <w:rPr>
          <w:rFonts w:ascii="Times New Roman" w:hAnsi="Times New Roman"/>
          <w:i/>
          <w:color w:val="333333"/>
          <w:sz w:val="22"/>
        </w:rPr>
        <w:t>Mở đầu bằng phát hiện dịch tễ toàn cầu: nữ có tỷ lệ mắc rối loạn lo âu cao hơn nam trong hầu hết nghiên cứu quốc tế, khoảng cách xuất hiện quanh tuổi dậy thì (McLean &amp; Anderson 2009; Hankin và cs. 2007). Trích Kessler và cs. 2005 về độ tuổi khởi phát (một nửa số ca lo âu khởi phát trước 14 tuổi). Nêu nghịch lý: phát hiện này KHÔNG được lặp lại trong một số nghiên cứu xuyên quốc gia gần đây có cỡ mẫu lớn (Jefferies &amp; Ungar 2020 — N = 6.825 ở 7 quốc gia, không có hiệu ứng giới tổng thể).</w:t>
      </w:r>
    </w:p>
    <w:p>
      <w:pPr>
        <w:spacing w:before="200" w:after="80"/>
      </w:pPr>
      <w:r>
        <w:rPr>
          <w:rFonts w:ascii="Times New Roman" w:hAnsi="Times New Roman"/>
          <w:b/>
          <w:color w:val="2E74B5"/>
          <w:sz w:val="24"/>
        </w:rPr>
        <w:t>1.2 — Three explanations for the discrepancy</w:t>
      </w:r>
    </w:p>
    <w:p>
      <w:pPr>
        <w:spacing w:after="80"/>
        <w:ind w:firstLine="283"/>
        <w:jc w:val="both"/>
      </w:pPr>
      <w:r>
        <w:rPr>
          <w:rFonts w:ascii="Times New Roman" w:hAnsi="Times New Roman"/>
          <w:sz w:val="22"/>
        </w:rPr>
        <w:t>Briefly preview three theoretical mechanisms that may explain why gender differences appear in early adolescence (11-14) but disappear in young adulthood (16-29): (1) developmental peak vulnerability — gender role intensification + co-rumination peak in middle school years; (2) cultural moderation — Confucian academic culture imposes stricter gender expectations on Vietnamese girls than Western contexts (Stankov 2010); (3) methodological factors — measurement context, sampling bias, and age-pooling effects.</w:t>
      </w:r>
    </w:p>
    <w:p>
      <w:pPr>
        <w:spacing w:after="160"/>
        <w:ind w:firstLine="283" w:left="170"/>
        <w:jc w:val="both"/>
      </w:pPr>
      <w:r>
        <w:rPr>
          <w:rFonts w:ascii="Times New Roman" w:hAnsi="Times New Roman"/>
          <w:i/>
          <w:color w:val="333333"/>
          <w:sz w:val="22"/>
        </w:rPr>
        <w:t>Giới thiệu ngắn ba cơ chế lý thuyết có thể giải thích vì sao khác biệt giới xuất hiện ở đầu vị thành niên (11-14) nhưng biến mất ở thanh niên (16-29): (1) đỉnh điểm tổn thương phát triển — gender intensification + co-rumination đạt đỉnh ở tuổi học sinh THCS; (2) điều tiết văn hóa — văn hóa học thuật Nho giáo áp đặt kỳ vọng giới nghiêm ngặt hơn cho nữ Việt Nam so với bối cảnh phương Tây (Stankov 2010); (3) yếu tố phương pháp luận — bối cảnh đo lường, sai lệch chọn mẫu, và hiệu ứng pool tuổi.</w:t>
      </w:r>
    </w:p>
    <w:p>
      <w:pPr>
        <w:spacing w:before="200" w:after="80"/>
      </w:pPr>
      <w:r>
        <w:rPr>
          <w:rFonts w:ascii="Times New Roman" w:hAnsi="Times New Roman"/>
          <w:b/>
          <w:color w:val="2E74B5"/>
          <w:sz w:val="24"/>
        </w:rPr>
        <w:t>1.3 — Why multi-group SEM is the right tool</w:t>
      </w:r>
    </w:p>
    <w:p>
      <w:pPr>
        <w:spacing w:after="80"/>
        <w:ind w:firstLine="283"/>
        <w:jc w:val="both"/>
      </w:pPr>
      <w:r>
        <w:rPr>
          <w:rFonts w:ascii="Times New Roman" w:hAnsi="Times New Roman"/>
          <w:sz w:val="22"/>
        </w:rPr>
        <w:t>Conventional t-test or ANOVA on total anxiety scores can detect mean differences but cannot test whether the entire risk-protective MECHANISM differs by gender. Multi-group SEM tests measurement invariance (do scales measure the same construct in both groups?) and structural invariance (do pathway coefficients differ?) — providing a fine-grained map of where gender matters and where it does not.</w:t>
      </w:r>
    </w:p>
    <w:p>
      <w:pPr>
        <w:spacing w:after="160"/>
        <w:ind w:firstLine="283" w:left="170"/>
        <w:jc w:val="both"/>
      </w:pPr>
      <w:r>
        <w:rPr>
          <w:rFonts w:ascii="Times New Roman" w:hAnsi="Times New Roman"/>
          <w:i/>
          <w:color w:val="333333"/>
          <w:sz w:val="22"/>
        </w:rPr>
        <w:t>Kiểm định t-test hay ANOVA thông thường trên điểm lo âu tổng có thể phát hiện khác biệt trung bình nhưng không kiểm chứng được liệu toàn bộ CƠ CHẾ nguy cơ-bảo vệ có khác biệt theo giới không. SEM đa nhóm kiểm chứng bất biến đo lường (các thang đo có đo cùng cấu trúc ở cả hai nhóm không?) và bất biến cấu trúc (các hệ số đường dẫn có khác nhau không?) — cung cấp bản đồ chi tiết về nơi giới có vai trò và nơi không.</w:t>
      </w:r>
    </w:p>
    <w:p>
      <w:pPr>
        <w:spacing w:before="200" w:after="80"/>
      </w:pPr>
      <w:r>
        <w:rPr>
          <w:rFonts w:ascii="Times New Roman" w:hAnsi="Times New Roman"/>
          <w:b/>
          <w:color w:val="2E74B5"/>
          <w:sz w:val="24"/>
        </w:rPr>
        <w:t>1.4 — Present study and hypotheses</w:t>
      </w:r>
    </w:p>
    <w:p>
      <w:pPr>
        <w:spacing w:after="80"/>
        <w:ind w:firstLine="283"/>
        <w:jc w:val="both"/>
      </w:pPr>
      <w:r>
        <w:rPr>
          <w:rFonts w:ascii="Times New Roman" w:hAnsi="Times New Roman"/>
          <w:sz w:val="22"/>
        </w:rPr>
        <w:t>State three pre-registered hypotheses. H1: Measurement invariance will be supported at all three levels (configural, metric, scalar) for the 8-scale measurement model. H2: At least one structural pathway will be non-invariant, specifically the bullying → SAD pathway will be stronger in girls than boys (prior cohort evidence). H3: The integrated higher-order model (YTNC + YTBV → total RLLA, R² = 0.598 in pooled sample) will show different total effect sizes by gender.</w:t>
      </w:r>
    </w:p>
    <w:p>
      <w:pPr>
        <w:spacing w:after="160"/>
        <w:ind w:firstLine="283" w:left="170"/>
        <w:jc w:val="both"/>
      </w:pPr>
      <w:r>
        <w:rPr>
          <w:rFonts w:ascii="Times New Roman" w:hAnsi="Times New Roman"/>
          <w:i/>
          <w:color w:val="333333"/>
          <w:sz w:val="22"/>
        </w:rPr>
        <w:t>Nêu ba giả thuyết đã đăng ký trước. H1: Bất biến đo lường sẽ được hỗ trợ ở cả ba cấp (cấu hình, metric, scalar) cho mô hình đo lường 8 thang. H2: Ít nhất một đường dẫn cấu trúc sẽ không bất biến, cụ thể đường dẫn bắt nạt → SAD sẽ mạnh hơn ở nữ so với nam (bằng chứng cohort trước đây). H3: Mô hình bậc cao tích hợp (YTNC + YTBV → tổng RLLA, R² = 0,598 ở mẫu pooled) sẽ thể hiện effect size tổng khác nhau theo giới.</w:t>
      </w:r>
    </w:p>
    <w:p>
      <w:pPr>
        <w:spacing w:before="120" w:after="120"/>
        <w:ind w:left="283" w:right="283"/>
      </w:pPr>
      <w:r>
        <w:rPr>
          <w:rFonts w:ascii="Times New Roman" w:hAnsi="Times New Roman"/>
          <w:b/>
          <w:color w:val="006E2E"/>
          <w:sz w:val="20"/>
        </w:rPr>
        <w:t>[NOTE TO NCS + co-authors] Hypotheses H1-H3 should be confirmed by NCS before pre-registration. Pre-registration platform: OSF or AsPredicted. Pre-registration is a prerequisite for top-tier Q1 anxiety journals.</w:t>
      </w:r>
    </w:p>
    <w:p>
      <w:pPr>
        <w:spacing w:after="200"/>
        <w:ind w:left="283" w:right="283"/>
      </w:pPr>
      <w:r>
        <w:rPr>
          <w:rFonts w:ascii="Times New Roman" w:hAnsi="Times New Roman"/>
          <w:b/>
          <w:i/>
          <w:color w:val="006E2E"/>
          <w:sz w:val="20"/>
        </w:rPr>
        <w:t>[GHI CHÚ cho NCS + đồng tác giả] Giả thuyết H1-H3 cần được NCS xác nhận trước khi đăng ký trước. Nền tảng đăng ký trước: OSF hoặc AsPredicted. Đăng ký trước là yêu cầu của các tạp chí Q1 hàng đầu về lo âu.</w:t>
      </w:r>
    </w:p>
    <w:p>
      <w:pPr>
        <w:spacing w:before="320" w:after="160"/>
      </w:pPr>
      <w:r>
        <w:rPr>
          <w:rFonts w:ascii="Times New Roman" w:hAnsi="Times New Roman"/>
          <w:b/>
          <w:color w:val="C00000"/>
          <w:sz w:val="28"/>
        </w:rPr>
        <w:t>2. METHODS (target 1,000-1,200 words full draft)</w:t>
      </w:r>
    </w:p>
    <w:p>
      <w:pPr>
        <w:spacing w:before="200" w:after="80"/>
      </w:pPr>
      <w:r>
        <w:rPr>
          <w:rFonts w:ascii="Times New Roman" w:hAnsi="Times New Roman"/>
          <w:b/>
          <w:color w:val="2E74B5"/>
          <w:sz w:val="24"/>
        </w:rPr>
        <w:t>2.1 — Participants</w:t>
      </w:r>
    </w:p>
    <w:p>
      <w:pPr>
        <w:spacing w:after="80"/>
        <w:ind w:firstLine="283"/>
        <w:jc w:val="both"/>
      </w:pPr>
      <w:r>
        <w:rPr>
          <w:rFonts w:ascii="Times New Roman" w:hAnsi="Times New Roman"/>
          <w:sz w:val="22"/>
        </w:rPr>
        <w:t>Reuse Q2 v1 participant description verbatim: 1,352 lower secondary students (boys = 614, 45.4%; girls = 738, 54.6%) recruited from Nhat Tan (urban) and Tay Mo (suburban) schools in Hanoi. Ages 11-14 (grades 6-9 distribution: 368/316/340/328). Written parental consent + student assent obtained.</w:t>
      </w:r>
    </w:p>
    <w:p>
      <w:pPr>
        <w:spacing w:after="160"/>
        <w:ind w:firstLine="283" w:left="170"/>
        <w:jc w:val="both"/>
      </w:pPr>
      <w:r>
        <w:rPr>
          <w:rFonts w:ascii="Times New Roman" w:hAnsi="Times New Roman"/>
          <w:i/>
          <w:color w:val="333333"/>
          <w:sz w:val="22"/>
        </w:rPr>
        <w:t>Sử dụng lại phần Participants của Q2 v1 nguyên văn: 1.352 học sinh THCS (nam = 614, 45,4%; nữ = 738, 54,6%) tuyển từ trường Nhật Tân (đô thị) và Tây Mỗ (ngoại ô) tại Hà Nội. Tuổi 11-14 (phân bố khối 6-9: 368/316/340/328). Có chấp thuận viết của cha mẹ + đồng thuận viết của học sinh.</w:t>
      </w:r>
    </w:p>
    <w:p>
      <w:pPr>
        <w:spacing w:before="200" w:after="80"/>
      </w:pPr>
      <w:r>
        <w:rPr>
          <w:rFonts w:ascii="Times New Roman" w:hAnsi="Times New Roman"/>
          <w:b/>
          <w:color w:val="2E74B5"/>
          <w:sz w:val="24"/>
        </w:rPr>
        <w:t>2.2 — Measures</w:t>
      </w:r>
    </w:p>
    <w:p>
      <w:pPr>
        <w:spacing w:after="80"/>
        <w:ind w:firstLine="283"/>
        <w:jc w:val="both"/>
      </w:pPr>
      <w:r>
        <w:rPr>
          <w:rFonts w:ascii="Times New Roman" w:hAnsi="Times New Roman"/>
          <w:sz w:val="22"/>
        </w:rPr>
        <w:t>Reuse Q2 v1 measures section verbatim — eight validated scales (RCADS for GAD/SAD/SocAD; OBVQ for bullying; ESSA for academic stress; SAS-SV for smartphone addiction; PSSM for school membership; MSPSS for parental + peer support; RSES for self-esteem). All scores rescaled to 0-100 metric for cross-scale comparability while preserving original scoring conventions.</w:t>
      </w:r>
    </w:p>
    <w:p>
      <w:pPr>
        <w:spacing w:after="160"/>
        <w:ind w:firstLine="283" w:left="170"/>
        <w:jc w:val="both"/>
      </w:pPr>
      <w:r>
        <w:rPr>
          <w:rFonts w:ascii="Times New Roman" w:hAnsi="Times New Roman"/>
          <w:i/>
          <w:color w:val="333333"/>
          <w:sz w:val="22"/>
        </w:rPr>
        <w:t>Sử dụng lại phần Measures của Q2 v1 nguyên văn — tám thang đo đã chuẩn hóa (RCADS cho GAD/SAD/SocAD; OBVQ cho bắt nạt; ESSA cho áp lực học tập; SAS-SV cho nghiện điện thoại; PSSM cho gắn bó trường; MSPSS cho hỗ trợ cha mẹ + bạn bè; RSES cho tự trọng). Tất cả điểm được chuyển sang thang 0-100 để so sánh xuyên thang trong khi vẫn giữ quy ước tính điểm gốc.</w:t>
      </w:r>
    </w:p>
    <w:p>
      <w:pPr>
        <w:spacing w:before="200" w:after="80"/>
      </w:pPr>
      <w:r>
        <w:rPr>
          <w:rFonts w:ascii="Times New Roman" w:hAnsi="Times New Roman"/>
          <w:b/>
          <w:color w:val="2E74B5"/>
          <w:sz w:val="24"/>
        </w:rPr>
        <w:t>2.3 — Analytic strategy (Q3-specific, NEW)</w:t>
      </w:r>
    </w:p>
    <w:p>
      <w:pPr>
        <w:spacing w:after="40"/>
        <w:ind w:left="283"/>
      </w:pPr>
      <w:r>
        <w:rPr>
          <w:rFonts w:ascii="Times New Roman" w:hAnsi="Times New Roman"/>
          <w:sz w:val="22"/>
        </w:rPr>
        <w:t>• Step 1: Descriptive statistics + bivariate gender comparisons. Independent t-tests for continuous scales (with Welch correction for unequal variances); chi-square for SAD threshold. Effect sizes (Cohen's d) and 95% CIs reported.</w:t>
      </w:r>
    </w:p>
    <w:p>
      <w:pPr>
        <w:spacing w:after="120"/>
        <w:ind w:left="454"/>
      </w:pPr>
      <w:r>
        <w:rPr>
          <w:rFonts w:ascii="Times New Roman" w:hAnsi="Times New Roman"/>
          <w:i/>
          <w:color w:val="333333"/>
          <w:sz w:val="22"/>
        </w:rPr>
        <w:t>▸ Bước 1: Thống kê mô tả + so sánh giới bivariate. Kiểm định t-test độc lập cho các thang liên tục (với hiệu chỉnh Welch nếu phương sai không đồng nhất); chi-square cho ngưỡng SAD. Effect size (Cohen's d) và CI 95% được báo cáo.</w:t>
      </w:r>
    </w:p>
    <w:p>
      <w:pPr>
        <w:spacing w:after="40"/>
        <w:ind w:left="283"/>
      </w:pPr>
      <w:r>
        <w:rPr>
          <w:rFonts w:ascii="Times New Roman" w:hAnsi="Times New Roman"/>
          <w:sz w:val="22"/>
        </w:rPr>
        <w:t>• Step 2: Measurement invariance testing via multi-group CFA. Sequence: configural → metric → scalar. Criterion: ΔCFI ≤ 0.01 + ΔRMSEA ≤ 0.015 (Cheung &amp; Rensvold 2002; Chen 2007). Partial invariance acceptable for ≤ 20% of indicators per scale.</w:t>
      </w:r>
    </w:p>
    <w:p>
      <w:pPr>
        <w:spacing w:after="120"/>
        <w:ind w:left="454"/>
      </w:pPr>
      <w:r>
        <w:rPr>
          <w:rFonts w:ascii="Times New Roman" w:hAnsi="Times New Roman"/>
          <w:i/>
          <w:color w:val="333333"/>
          <w:sz w:val="22"/>
        </w:rPr>
        <w:t>▸ Bước 2: Kiểm chứng bất biến đo lường qua CFA đa nhóm. Trình tự: cấu hình → metric → scalar. Tiêu chí: ΔCFI ≤ 0,01 + ΔRMSEA ≤ 0,015 (Cheung &amp; Rensvold 2002; Chen 2007). Bất biến từng phần chấp nhận được nếu ≤ 20% chỉ báo trong mỗi thang.</w:t>
      </w:r>
    </w:p>
    <w:p>
      <w:pPr>
        <w:spacing w:after="40"/>
        <w:ind w:left="283"/>
      </w:pPr>
      <w:r>
        <w:rPr>
          <w:rFonts w:ascii="Times New Roman" w:hAnsi="Times New Roman"/>
          <w:sz w:val="22"/>
        </w:rPr>
        <w:t>• Step 3: Structural invariance testing. Compare unconstrained (all 21 pathways free) vs constrained (all 21 pathways equal across groups) models. Identify which pathways need to be released for partial invariance.</w:t>
      </w:r>
    </w:p>
    <w:p>
      <w:pPr>
        <w:spacing w:after="120"/>
        <w:ind w:left="454"/>
      </w:pPr>
      <w:r>
        <w:rPr>
          <w:rFonts w:ascii="Times New Roman" w:hAnsi="Times New Roman"/>
          <w:i/>
          <w:color w:val="333333"/>
          <w:sz w:val="22"/>
        </w:rPr>
        <w:t>▸ Bước 3: Kiểm chứng bất biến cấu trúc. So sánh mô hình không ràng buộc (cả 21 đường dẫn tự do) vs ràng buộc (cả 21 đường dẫn bằng nhau qua các nhóm). Xác định đường dẫn nào cần được nới để đạt bất biến từng phần.</w:t>
      </w:r>
    </w:p>
    <w:p>
      <w:pPr>
        <w:spacing w:after="40"/>
        <w:ind w:left="283"/>
      </w:pPr>
      <w:r>
        <w:rPr>
          <w:rFonts w:ascii="Times New Roman" w:hAnsi="Times New Roman"/>
          <w:sz w:val="22"/>
        </w:rPr>
        <w:t>• Step 4: Higher-order model invariance. Test invariance of YTNC + YTBV second-order pathways to total RLLA (Q2 v1 integrated model). Report β by gender + 95% CIs.</w:t>
      </w:r>
    </w:p>
    <w:p>
      <w:pPr>
        <w:spacing w:after="120"/>
        <w:ind w:left="454"/>
      </w:pPr>
      <w:r>
        <w:rPr>
          <w:rFonts w:ascii="Times New Roman" w:hAnsi="Times New Roman"/>
          <w:i/>
          <w:color w:val="333333"/>
          <w:sz w:val="22"/>
        </w:rPr>
        <w:t>▸ Bước 4: Bất biến của mô hình bậc cao. Kiểm chứng bất biến các đường dẫn bậc hai YTNC + YTBV → tổng RLLA (mô hình tích hợp của Q2 v1). Báo cáo β theo giới + CI 95%.</w:t>
      </w:r>
    </w:p>
    <w:p>
      <w:pPr>
        <w:spacing w:after="40"/>
        <w:ind w:left="283"/>
      </w:pPr>
      <w:r>
        <w:rPr>
          <w:rFonts w:ascii="Times New Roman" w:hAnsi="Times New Roman"/>
          <w:sz w:val="22"/>
        </w:rPr>
        <w:t>• Step 5: Sensitivity analyses. Multi-group SEM repeated after (a) excluding urban-only / suburban-only sub-samples, (b) age stratification (younger 11-12 vs older 13-14), (c) alternative invariance threshold (Chen 2007 stricter).</w:t>
      </w:r>
    </w:p>
    <w:p>
      <w:pPr>
        <w:spacing w:after="120"/>
        <w:ind w:left="454"/>
      </w:pPr>
      <w:r>
        <w:rPr>
          <w:rFonts w:ascii="Times New Roman" w:hAnsi="Times New Roman"/>
          <w:i/>
          <w:color w:val="333333"/>
          <w:sz w:val="22"/>
        </w:rPr>
        <w:t>▸ Bước 5: Phân tích độ nhạy. Lặp lại SEM đa nhóm sau khi (a) loại trừ con mẫu chỉ-đô-thị / chỉ-ngoại-ô, (b) phân tầng theo tuổi (nhỏ hơn 11-12 vs lớn hơn 13-14), (c) ngưỡng bất biến thay thế (Chen 2007 nghiêm hơn).</w:t>
      </w:r>
    </w:p>
    <w:p>
      <w:pPr>
        <w:spacing w:before="200" w:after="80"/>
      </w:pPr>
      <w:r>
        <w:rPr>
          <w:rFonts w:ascii="Times New Roman" w:hAnsi="Times New Roman"/>
          <w:b/>
          <w:color w:val="2E74B5"/>
          <w:sz w:val="24"/>
        </w:rPr>
        <w:t>2.4 — Ethics</w:t>
      </w:r>
    </w:p>
    <w:p>
      <w:pPr>
        <w:spacing w:after="80"/>
        <w:ind w:firstLine="283"/>
        <w:jc w:val="both"/>
      </w:pPr>
      <w:r>
        <w:rPr>
          <w:rFonts w:ascii="Times New Roman" w:hAnsi="Times New Roman"/>
          <w:sz w:val="22"/>
        </w:rPr>
        <w:t>Reuse Q2 v1 ethics section verbatim. [TBD — Q3-6 BLOCKING: IRB number and date pending official letter from HNUE Ethics Committee — NCS Cong Thi Hang to confirm.]</w:t>
      </w:r>
    </w:p>
    <w:p>
      <w:pPr>
        <w:spacing w:after="160"/>
        <w:ind w:firstLine="283" w:left="170"/>
        <w:jc w:val="both"/>
      </w:pPr>
      <w:r>
        <w:rPr>
          <w:rFonts w:ascii="Times New Roman" w:hAnsi="Times New Roman"/>
          <w:i/>
          <w:color w:val="333333"/>
          <w:sz w:val="22"/>
        </w:rPr>
        <w:t>Sử dụng lại phần Ethics của Q2 v1 nguyên văn. [CHỜ XÁC NHẬN — Q3-6 BLOCKING: số quyết định và ngày của HĐ đạo đức HNUE chờ thư chính thức — NCS Công Thị Hằng xác nhận.]</w:t>
      </w:r>
    </w:p>
    <w:p>
      <w:pPr>
        <w:spacing w:before="320" w:after="160"/>
      </w:pPr>
      <w:r>
        <w:rPr>
          <w:rFonts w:ascii="Times New Roman" w:hAnsi="Times New Roman"/>
          <w:b/>
          <w:color w:val="C00000"/>
          <w:sz w:val="28"/>
        </w:rPr>
        <w:t>3. RESULTS (target 1,500-1,800 words full draft)</w:t>
      </w:r>
    </w:p>
    <w:p>
      <w:pPr>
        <w:spacing w:before="200" w:after="80"/>
      </w:pPr>
      <w:r>
        <w:rPr>
          <w:rFonts w:ascii="Times New Roman" w:hAnsi="Times New Roman"/>
          <w:b/>
          <w:color w:val="2E74B5"/>
          <w:sz w:val="24"/>
        </w:rPr>
        <w:t>3.1 — Descriptive statistics and bivariate gender comparisons</w:t>
      </w:r>
    </w:p>
    <w:p>
      <w:pPr>
        <w:spacing w:after="80"/>
        <w:ind w:firstLine="283"/>
        <w:jc w:val="both"/>
      </w:pPr>
      <w:r>
        <w:rPr>
          <w:rFonts w:ascii="Times New Roman" w:hAnsi="Times New Roman"/>
          <w:sz w:val="22"/>
        </w:rPr>
        <w:t>Report means, SDs, and Cronbach alphas for each of 8 scales, stratified by gender. Highlight which scales show significant mean differences (expected: SAD, SocAD, self-esteem). Include Table 1 (gender x scale descriptives).</w:t>
      </w:r>
    </w:p>
    <w:p>
      <w:pPr>
        <w:spacing w:after="160"/>
        <w:ind w:firstLine="283" w:left="170"/>
        <w:jc w:val="both"/>
      </w:pPr>
      <w:r>
        <w:rPr>
          <w:rFonts w:ascii="Times New Roman" w:hAnsi="Times New Roman"/>
          <w:i/>
          <w:color w:val="333333"/>
          <w:sz w:val="22"/>
        </w:rPr>
        <w:t>Báo cáo trung bình, SD, và alpha Cronbach cho mỗi trong 8 thang, phân tầng theo giới. Nhấn mạnh thang nào có khác biệt trung bình có ý nghĩa (dự kiến: SAD, SocAD, tự trọng). Bao gồm Bảng 1 (descriptives giới × thang).</w:t>
      </w:r>
    </w:p>
    <w:p>
      <w:pPr>
        <w:spacing w:before="200" w:after="80"/>
      </w:pPr>
      <w:r>
        <w:rPr>
          <w:rFonts w:ascii="Times New Roman" w:hAnsi="Times New Roman"/>
          <w:b/>
          <w:color w:val="2E74B5"/>
          <w:sz w:val="24"/>
        </w:rPr>
        <w:t>3.2 — Measurement invariance</w:t>
      </w:r>
    </w:p>
    <w:p>
      <w:pPr>
        <w:spacing w:after="80"/>
        <w:ind w:firstLine="283"/>
        <w:jc w:val="both"/>
      </w:pPr>
      <w:r>
        <w:rPr>
          <w:rFonts w:ascii="Times New Roman" w:hAnsi="Times New Roman"/>
          <w:sz w:val="22"/>
        </w:rPr>
        <w:t>Report sequential model fit indices: CFI, TLI, RMSEA, SRMR for configural, metric, scalar models. Report ΔCFI, ΔRMSEA. Discuss any partial invariance findings (which items released).</w:t>
      </w:r>
    </w:p>
    <w:p>
      <w:pPr>
        <w:spacing w:after="160"/>
        <w:ind w:firstLine="283" w:left="170"/>
        <w:jc w:val="both"/>
      </w:pPr>
      <w:r>
        <w:rPr>
          <w:rFonts w:ascii="Times New Roman" w:hAnsi="Times New Roman"/>
          <w:i/>
          <w:color w:val="333333"/>
          <w:sz w:val="22"/>
        </w:rPr>
        <w:t>Báo cáo chỉ số phù hợp mô hình tuần tự: CFI, TLI, RMSEA, SRMR cho mô hình cấu hình, metric, scalar. Báo cáo ΔCFI, ΔRMSEA. Bàn luận bất kỳ phát hiện bất biến từng phần (mục nào được nới).</w:t>
      </w:r>
    </w:p>
    <w:p>
      <w:pPr>
        <w:spacing w:before="200" w:after="80"/>
      </w:pPr>
      <w:r>
        <w:rPr>
          <w:rFonts w:ascii="Times New Roman" w:hAnsi="Times New Roman"/>
          <w:b/>
          <w:color w:val="2E74B5"/>
          <w:sz w:val="24"/>
        </w:rPr>
        <w:t>3.3 — Structural invariance</w:t>
      </w:r>
    </w:p>
    <w:p>
      <w:pPr>
        <w:spacing w:after="80"/>
        <w:ind w:firstLine="283"/>
        <w:jc w:val="both"/>
      </w:pPr>
      <w:r>
        <w:rPr>
          <w:rFonts w:ascii="Times New Roman" w:hAnsi="Times New Roman"/>
          <w:sz w:val="22"/>
        </w:rPr>
        <w:t>Compare unconstrained vs constrained model. Identify which of 21 pathways are non-invariant. Present Table 2 (β by gender for each pathway + 95% CIs + z-test for invariance).</w:t>
      </w:r>
    </w:p>
    <w:p>
      <w:pPr>
        <w:spacing w:after="160"/>
        <w:ind w:firstLine="283" w:left="170"/>
        <w:jc w:val="both"/>
      </w:pPr>
      <w:r>
        <w:rPr>
          <w:rFonts w:ascii="Times New Roman" w:hAnsi="Times New Roman"/>
          <w:i/>
          <w:color w:val="333333"/>
          <w:sz w:val="22"/>
        </w:rPr>
        <w:t>So sánh mô hình không ràng buộc vs ràng buộc. Xác định đường dẫn nào trong 21 đường không bất biến. Trình bày Bảng 2 (β theo giới cho mỗi đường dẫn + CI 95% + kiểm định z bất biến).</w:t>
      </w:r>
    </w:p>
    <w:p>
      <w:pPr>
        <w:spacing w:before="200" w:after="80"/>
      </w:pPr>
      <w:r>
        <w:rPr>
          <w:rFonts w:ascii="Times New Roman" w:hAnsi="Times New Roman"/>
          <w:b/>
          <w:color w:val="2E74B5"/>
          <w:sz w:val="24"/>
        </w:rPr>
        <w:t>3.4 — Pathway-specific gender effects</w:t>
      </w:r>
    </w:p>
    <w:p>
      <w:pPr>
        <w:spacing w:after="80"/>
        <w:ind w:firstLine="283"/>
        <w:jc w:val="both"/>
      </w:pPr>
      <w:r>
        <w:rPr>
          <w:rFonts w:ascii="Times New Roman" w:hAnsi="Times New Roman"/>
          <w:sz w:val="22"/>
        </w:rPr>
        <w:t>Focus on substantively interesting non-invariant pathways. Expected key finding (TO BE CONFIRMED by analysis — NOT a fabricated estimate): bullying → SAD β may be stronger in girls than boys, but exact β values await multi-group SEM computation. Discuss effect size magnitude in narrative form.</w:t>
      </w:r>
    </w:p>
    <w:p>
      <w:pPr>
        <w:spacing w:after="160"/>
        <w:ind w:firstLine="283" w:left="170"/>
        <w:jc w:val="both"/>
      </w:pPr>
      <w:r>
        <w:rPr>
          <w:rFonts w:ascii="Times New Roman" w:hAnsi="Times New Roman"/>
          <w:i/>
          <w:color w:val="333333"/>
          <w:sz w:val="22"/>
        </w:rPr>
        <w:t>Tập trung vào các đường dẫn không bất biến có ý nghĩa thực chất. Phát hiện chính dự kiến (CHỜ XÁC NHẬN từ phân tích — KHÔNG phải ước tính bịa): đường dẫn bắt nạt → SAD có thể mạnh hơn ở nữ so với nam, nhưng giá trị β chính xác chờ kết quả tính toán SEM đa nhóm. Bàn luận độ lớn effect size qua mô tả ngôn từ.</w:t>
      </w:r>
    </w:p>
    <w:p>
      <w:pPr>
        <w:spacing w:before="200" w:after="80"/>
      </w:pPr>
      <w:r>
        <w:rPr>
          <w:rFonts w:ascii="Times New Roman" w:hAnsi="Times New Roman"/>
          <w:b/>
          <w:color w:val="2E74B5"/>
          <w:sz w:val="24"/>
        </w:rPr>
        <w:t>3.5 — Higher-order integrated model</w:t>
      </w:r>
    </w:p>
    <w:p>
      <w:pPr>
        <w:spacing w:after="80"/>
        <w:ind w:firstLine="283"/>
        <w:jc w:val="both"/>
      </w:pPr>
      <w:r>
        <w:rPr>
          <w:rFonts w:ascii="Times New Roman" w:hAnsi="Times New Roman"/>
          <w:sz w:val="22"/>
        </w:rPr>
        <w:t>Report YTNC and YTBV second-order pathway β by gender. R² comparison.</w:t>
      </w:r>
    </w:p>
    <w:p>
      <w:pPr>
        <w:spacing w:after="160"/>
        <w:ind w:firstLine="283" w:left="170"/>
        <w:jc w:val="both"/>
      </w:pPr>
      <w:r>
        <w:rPr>
          <w:rFonts w:ascii="Times New Roman" w:hAnsi="Times New Roman"/>
          <w:i/>
          <w:color w:val="333333"/>
          <w:sz w:val="22"/>
        </w:rPr>
        <w:t>Báo cáo β đường dẫn bậc hai YTNC và YTBV theo giới. So sánh R².</w:t>
      </w:r>
    </w:p>
    <w:p>
      <w:pPr>
        <w:spacing w:before="320" w:after="160"/>
      </w:pPr>
      <w:r>
        <w:rPr>
          <w:rFonts w:ascii="Times New Roman" w:hAnsi="Times New Roman"/>
          <w:b/>
          <w:color w:val="C00000"/>
          <w:sz w:val="28"/>
        </w:rPr>
        <w:t>4. DISCUSSION (target 1,500-1,800 words full draft)</w:t>
      </w:r>
    </w:p>
    <w:p>
      <w:pPr>
        <w:spacing w:before="200" w:after="80"/>
      </w:pPr>
      <w:r>
        <w:rPr>
          <w:rFonts w:ascii="Times New Roman" w:hAnsi="Times New Roman"/>
          <w:b/>
          <w:color w:val="2E74B5"/>
          <w:sz w:val="24"/>
        </w:rPr>
        <w:t>4.1 — Summary of findings</w:t>
      </w:r>
    </w:p>
    <w:p>
      <w:pPr>
        <w:spacing w:after="80"/>
        <w:ind w:firstLine="283"/>
        <w:jc w:val="both"/>
      </w:pPr>
      <w:r>
        <w:rPr>
          <w:rFonts w:ascii="Times New Roman" w:hAnsi="Times New Roman"/>
          <w:sz w:val="22"/>
        </w:rPr>
        <w:t>1 paragraph summary of measurement + structural invariance + key non-invariant pathways.</w:t>
      </w:r>
    </w:p>
    <w:p>
      <w:pPr>
        <w:spacing w:after="160"/>
        <w:ind w:firstLine="283" w:left="170"/>
        <w:jc w:val="both"/>
      </w:pPr>
      <w:r>
        <w:rPr>
          <w:rFonts w:ascii="Times New Roman" w:hAnsi="Times New Roman"/>
          <w:i/>
          <w:color w:val="333333"/>
          <w:sz w:val="22"/>
        </w:rPr>
        <w:t>1 đoạn tóm tắt bất biến đo lường + cấu trúc + đường dẫn không bất biến chính.</w:t>
      </w:r>
    </w:p>
    <w:p>
      <w:pPr>
        <w:spacing w:before="200" w:after="80"/>
      </w:pPr>
      <w:r>
        <w:rPr>
          <w:rFonts w:ascii="Times New Roman" w:hAnsi="Times New Roman"/>
          <w:b/>
          <w:color w:val="2E74B5"/>
          <w:sz w:val="24"/>
        </w:rPr>
        <w:t>4.2 — Reconciliation with Jefferies &amp; Ungar (2020)</w:t>
      </w:r>
    </w:p>
    <w:p>
      <w:pPr>
        <w:spacing w:after="80"/>
        <w:ind w:firstLine="283"/>
        <w:jc w:val="both"/>
      </w:pPr>
      <w:r>
        <w:rPr>
          <w:rFonts w:ascii="Times New Roman" w:hAnsi="Times New Roman"/>
          <w:sz w:val="22"/>
        </w:rPr>
        <w:t>THE KEY DISCUSSION SECTION. Reuse the 6 luan chung from TraLoiThayNMD doc verbatim (8 paragraphs total, ~600 words). Sequence: Lc1 (developmental peak 11-14, Hankin 2007, McLean &amp; Anderson 2009) → Lc2 (co-rumination, Rose 2002) → Lc3 (Confucian gender script, Stankov 2010, Small &amp; Blanc 2021) → Lc4 (school context vs market panel) → Lc5 (methodological: instrument, sample bias, sub-sample size) → Lc6 (age main effect dominates Jefferies).</w:t>
      </w:r>
    </w:p>
    <w:p>
      <w:pPr>
        <w:spacing w:after="160"/>
        <w:ind w:firstLine="283" w:left="170"/>
        <w:jc w:val="both"/>
      </w:pPr>
      <w:r>
        <w:rPr>
          <w:rFonts w:ascii="Times New Roman" w:hAnsi="Times New Roman"/>
          <w:i/>
          <w:color w:val="333333"/>
          <w:sz w:val="22"/>
        </w:rPr>
        <w:t>SECTION DISCUSSION CHỦ CHỐT. Sử dụng lại 6 luận chứng từ doc TraLoiThayNMD nguyên văn (tổng 8 đoạn, ~600 từ). Trình tự: Lc1 (đỉnh phát triển 11-14, Hankin 2007, McLean &amp; Anderson 2009) → Lc2 (co-rumination, Rose 2002) → Lc3 (kịch bản giới Nho giáo, Stankov 2010, Small &amp; Blanc 2021) → Lc4 (bối cảnh học đường vs market panel) → Lc5 (phương pháp luận: công cụ, sai lệch mẫu, cỡ con mẫu) → Lc6 (hiệu ứng tuổi áp đảo trong Jefferies).</w:t>
      </w:r>
    </w:p>
    <w:p>
      <w:pPr>
        <w:spacing w:before="200" w:after="80"/>
      </w:pPr>
      <w:r>
        <w:rPr>
          <w:rFonts w:ascii="Times New Roman" w:hAnsi="Times New Roman"/>
          <w:b/>
          <w:color w:val="2E74B5"/>
          <w:sz w:val="24"/>
        </w:rPr>
        <w:t>4.3 — Theoretical implications</w:t>
      </w:r>
    </w:p>
    <w:p>
      <w:pPr>
        <w:spacing w:after="80"/>
        <w:ind w:firstLine="283"/>
        <w:jc w:val="both"/>
      </w:pPr>
      <w:r>
        <w:rPr>
          <w:rFonts w:ascii="Times New Roman" w:hAnsi="Times New Roman"/>
          <w:sz w:val="22"/>
        </w:rPr>
        <w:t>Three theoretical contributions: (1) gender intensification theory (Hill &amp; Lynch 1983) applies to non-Western Confucian context — extends generalizability; (2) co-rumination cuts across cultures but interacts with Confucian disclosure norms (Small &amp; Blanc 2021); (3) tam giao framework (Buddhism + Confucianism + Taoism) provides an under-theorized model of emotional restraint relevant to gendered SAD expression.</w:t>
      </w:r>
    </w:p>
    <w:p>
      <w:pPr>
        <w:spacing w:after="160"/>
        <w:ind w:firstLine="283" w:left="170"/>
        <w:jc w:val="both"/>
      </w:pPr>
      <w:r>
        <w:rPr>
          <w:rFonts w:ascii="Times New Roman" w:hAnsi="Times New Roman"/>
          <w:i/>
          <w:color w:val="333333"/>
          <w:sz w:val="22"/>
        </w:rPr>
        <w:t>Ba đóng góp lý thuyết: (1) lý thuyết gender intensification (Hill &amp; Lynch 1983) áp dụng cho bối cảnh Nho giáo phi phương Tây — mở rộng tính tổng quát; (2) co-rumination xuyên văn hóa nhưng tương tác với chuẩn mực bộc lộ Nho giáo (Small &amp; Blanc 2021); (3) khung tam giáo (Phật + Nho + Đạo) cung cấp mô hình chừng mực cảm xúc chưa được lý thuyết hóa đầy đủ, liên quan đến biểu hiện SAD theo giới.</w:t>
      </w:r>
    </w:p>
    <w:p>
      <w:pPr>
        <w:spacing w:before="200" w:after="80"/>
      </w:pPr>
      <w:r>
        <w:rPr>
          <w:rFonts w:ascii="Times New Roman" w:hAnsi="Times New Roman"/>
          <w:b/>
          <w:color w:val="2E74B5"/>
          <w:sz w:val="24"/>
        </w:rPr>
        <w:t>4.4 — Practical implications</w:t>
      </w:r>
    </w:p>
    <w:p>
      <w:pPr>
        <w:spacing w:after="80"/>
        <w:ind w:firstLine="283"/>
        <w:jc w:val="both"/>
      </w:pPr>
      <w:r>
        <w:rPr>
          <w:rFonts w:ascii="Times New Roman" w:hAnsi="Times New Roman"/>
          <w:sz w:val="22"/>
        </w:rPr>
        <w:t>Gender-tailored prevention: girls in early adolescence may benefit from co-rumination disruption + assertiveness training + self-compassion. Boys may benefit from emotion identification and labeling. School-based programs (e.g., FRIENDS, OurFutures) should be tested in gender-stratified RCTs in Vietnamese schools.</w:t>
      </w:r>
    </w:p>
    <w:p>
      <w:pPr>
        <w:spacing w:after="160"/>
        <w:ind w:firstLine="283" w:left="170"/>
        <w:jc w:val="both"/>
      </w:pPr>
      <w:r>
        <w:rPr>
          <w:rFonts w:ascii="Times New Roman" w:hAnsi="Times New Roman"/>
          <w:i/>
          <w:color w:val="333333"/>
          <w:sz w:val="22"/>
        </w:rPr>
        <w:t>Phòng ngừa đặc thù theo giới: nữ ở đầu vị thành niên có thể hưởng lợi từ việc làm gián đoạn co-rumination + huấn luyện quyết đoán + tự thương xót. Nam có thể hưởng lợi từ nhận diện + đặt tên cảm xúc. Chương trình tại trường (vd FRIENDS, OurFutures) nên được kiểm chứng trong RCT phân tầng giới ở trường học Việt Nam.</w:t>
      </w:r>
    </w:p>
    <w:p>
      <w:pPr>
        <w:spacing w:before="200" w:after="80"/>
      </w:pPr>
      <w:r>
        <w:rPr>
          <w:rFonts w:ascii="Times New Roman" w:hAnsi="Times New Roman"/>
          <w:b/>
          <w:color w:val="2E74B5"/>
          <w:sz w:val="24"/>
        </w:rPr>
        <w:t>4.5 — Limitations</w:t>
      </w:r>
    </w:p>
    <w:p>
      <w:pPr>
        <w:spacing w:after="80"/>
        <w:ind w:firstLine="283"/>
        <w:jc w:val="both"/>
      </w:pPr>
      <w:r>
        <w:rPr>
          <w:rFonts w:ascii="Times New Roman" w:hAnsi="Times New Roman"/>
          <w:sz w:val="22"/>
        </w:rPr>
        <w:t>(a) Cross-sectional design precludes causal inference; (b) single-site Hanoi sample limits generalization to rural / minority-ethnic Vietnamese youth; (c) self-report instruments subject to social desirability + gender-biased disclosure norms (which is itself a finding of interest); (d) single-time-point measurement does not capture developmental trajectories.</w:t>
      </w:r>
    </w:p>
    <w:p>
      <w:pPr>
        <w:spacing w:after="160"/>
        <w:ind w:firstLine="283" w:left="170"/>
        <w:jc w:val="both"/>
      </w:pPr>
      <w:r>
        <w:rPr>
          <w:rFonts w:ascii="Times New Roman" w:hAnsi="Times New Roman"/>
          <w:i/>
          <w:color w:val="333333"/>
          <w:sz w:val="22"/>
        </w:rPr>
        <w:t>(a) Thiết kế cắt ngang không cho phép suy luận nhân quả; (b) mẫu một địa điểm Hà Nội hạn chế khái quát hóa cho thanh thiếu niên nông thôn / dân tộc thiểu số Việt Nam; (c) công cụ tự báo cáo bị ảnh hưởng bởi mong muốn xã hội + chuẩn mực bộc lộ thiên lệch giới (bản thân điều này cũng là phát hiện đáng quan tâm); (d) đo lường một thời điểm không bắt được quỹ đạo phát triển.</w:t>
      </w:r>
    </w:p>
    <w:p>
      <w:pPr>
        <w:spacing w:before="200" w:after="80"/>
      </w:pPr>
      <w:r>
        <w:rPr>
          <w:rFonts w:ascii="Times New Roman" w:hAnsi="Times New Roman"/>
          <w:b/>
          <w:color w:val="2E74B5"/>
          <w:sz w:val="24"/>
        </w:rPr>
        <w:t>4.6 — Future directions</w:t>
      </w:r>
    </w:p>
    <w:p>
      <w:pPr>
        <w:spacing w:after="80"/>
        <w:ind w:firstLine="283"/>
        <w:jc w:val="both"/>
      </w:pPr>
      <w:r>
        <w:rPr>
          <w:rFonts w:ascii="Times New Roman" w:hAnsi="Times New Roman"/>
          <w:sz w:val="22"/>
        </w:rPr>
        <w:t>Three priorities: (1) longitudinal cohort following the same sample through transition to upper secondary (16-18) to test whether gender gap closes — direct test of developmental peak hypothesis; (2) replicate in rural + minority-ethnic Vietnamese cohorts; (3) qualitative companion study probing gendered disclosure norms (planned, not in current dataset).</w:t>
      </w:r>
    </w:p>
    <w:p>
      <w:pPr>
        <w:spacing w:after="160"/>
        <w:ind w:firstLine="283" w:left="170"/>
        <w:jc w:val="both"/>
      </w:pPr>
      <w:r>
        <w:rPr>
          <w:rFonts w:ascii="Times New Roman" w:hAnsi="Times New Roman"/>
          <w:i/>
          <w:color w:val="333333"/>
          <w:sz w:val="22"/>
        </w:rPr>
        <w:t>Ba ưu tiên: (1) cohort theo dõi mẫu hiện tại qua chuyển tiếp lên THPT (16-18) để kiểm chứng xem khoảng cách giới có khép lại không — kiểm định trực tiếp giả thuyết đỉnh phát triển; (2) lặp lại ở cohort nông thôn + dân tộc thiểu số Việt Nam; (3) nghiên cứu định tính đồng hành thăm dò chuẩn mực bộc lộ theo giới (đã lên kế hoạch, không có trong dữ liệu hiện tại).</w:t>
      </w:r>
    </w:p>
    <w:p>
      <w:pPr>
        <w:spacing w:before="320" w:after="160"/>
      </w:pPr>
      <w:r>
        <w:rPr>
          <w:rFonts w:ascii="Times New Roman" w:hAnsi="Times New Roman"/>
          <w:b/>
          <w:color w:val="C00000"/>
          <w:sz w:val="28"/>
        </w:rPr>
        <w:t>5. REFERENCES (target 35-45 entries full draft)</w:t>
      </w:r>
    </w:p>
    <w:p>
      <w:pPr>
        <w:spacing w:before="120" w:after="120"/>
        <w:ind w:left="283" w:right="283"/>
      </w:pPr>
      <w:r>
        <w:rPr>
          <w:rFonts w:ascii="Times New Roman" w:hAnsi="Times New Roman"/>
          <w:b/>
          <w:color w:val="006E2E"/>
          <w:sz w:val="20"/>
        </w:rPr>
        <w:t>[NOTE TO NCS + co-authors] Below are 12 KEY references already verified via PubMed (PMID + DOI checked 07-08/06/2026). For full draft, expand to 35-45 by adding instrument validation papers (RCADS Chorpita 2000, OBVQ Olweus 1996, etc.) and additional invariance methodology refs.</w:t>
      </w:r>
    </w:p>
    <w:p>
      <w:pPr>
        <w:spacing w:after="200"/>
        <w:ind w:left="283" w:right="283"/>
      </w:pPr>
      <w:r>
        <w:rPr>
          <w:rFonts w:ascii="Times New Roman" w:hAnsi="Times New Roman"/>
          <w:b/>
          <w:i/>
          <w:color w:val="006E2E"/>
          <w:sz w:val="20"/>
        </w:rPr>
        <w:t>[GHI CHÚ cho NCS + đồng tác giả] Dưới đây là 12 tham khảo CHỦ CHỐT đã verify qua PubMed (PMID + DOI kiểm tra 07-08/06/2026). Cho draft đầy đủ, mở rộng lên 35-45 bằng cách thêm các bài chuẩn hóa thang đo (RCADS Chorpita 2000, OBVQ Olweus 1996, v.v.) và các tham khảo phương pháp luận bất biến bổ sung.</w:t>
      </w:r>
    </w:p>
    <w:p>
      <w:pPr>
        <w:spacing w:after="80"/>
        <w:ind w:left="425" w:hanging="425"/>
      </w:pPr>
      <w:r>
        <w:rPr>
          <w:rFonts w:ascii="Times New Roman" w:hAnsi="Times New Roman"/>
          <w:sz w:val="20"/>
        </w:rPr>
        <w:t>[1] Jefferies P, Ungar M. (2020). Social anxiety in young people: A prevalence study in seven countries. PLOS ONE 15(9):e0239133. DOI: 10.1371/journal.pone.0239133.</w:t>
      </w:r>
    </w:p>
    <w:p>
      <w:pPr>
        <w:spacing w:after="80"/>
        <w:ind w:left="425" w:hanging="425"/>
      </w:pPr>
      <w:r>
        <w:rPr>
          <w:rFonts w:ascii="Times New Roman" w:hAnsi="Times New Roman"/>
          <w:sz w:val="20"/>
        </w:rPr>
        <w:t>[2] Hankin BL, Mermelstein R, Roesch L. (2007). Sex differences in adolescent depression: Stress exposure and reactivity models. Child Development 78(1):279-295. PMID: 17328705.</w:t>
      </w:r>
    </w:p>
    <w:p>
      <w:pPr>
        <w:spacing w:after="80"/>
        <w:ind w:left="425" w:hanging="425"/>
      </w:pPr>
      <w:r>
        <w:rPr>
          <w:rFonts w:ascii="Times New Roman" w:hAnsi="Times New Roman"/>
          <w:sz w:val="20"/>
        </w:rPr>
        <w:t>[3] McLean CP, Anderson ER. (2009). Brave men and timid women? A review of the gender differences in fear and anxiety. Clinical Psychology Review 29(6):496-505. PMID: 19541399.</w:t>
      </w:r>
    </w:p>
    <w:p>
      <w:pPr>
        <w:spacing w:after="80"/>
        <w:ind w:left="425" w:hanging="425"/>
      </w:pPr>
      <w:r>
        <w:rPr>
          <w:rFonts w:ascii="Times New Roman" w:hAnsi="Times New Roman"/>
          <w:sz w:val="20"/>
        </w:rPr>
        <w:t>[4] Hill JP, Lynch ME. (1983). The intensification of gender-related role expectations during early adolescence. In: Brooks-Gunn J, Petersen AC (eds.), Girls at puberty. New York: Plenum Press, pp. 201-228.</w:t>
      </w:r>
    </w:p>
    <w:p>
      <w:pPr>
        <w:spacing w:after="80"/>
        <w:ind w:left="425" w:hanging="425"/>
      </w:pPr>
      <w:r>
        <w:rPr>
          <w:rFonts w:ascii="Times New Roman" w:hAnsi="Times New Roman"/>
          <w:sz w:val="20"/>
        </w:rPr>
        <w:t>[5] Kessler RC, Berglund P, Demler O, Jin R, Merikangas KR, Walters EE. (2005). Lifetime prevalence and age-of-onset distributions of DSM-IV disorders in the NCS-R. Archives of General Psychiatry 62(6):593-602. PMID: 15939837. DOI: 10.1001/archpsyc.62.6.593.</w:t>
      </w:r>
    </w:p>
    <w:p>
      <w:pPr>
        <w:spacing w:after="80"/>
        <w:ind w:left="425" w:hanging="425"/>
      </w:pPr>
      <w:r>
        <w:rPr>
          <w:rFonts w:ascii="Times New Roman" w:hAnsi="Times New Roman"/>
          <w:sz w:val="20"/>
        </w:rPr>
        <w:t>[6] Rose AJ. (2002). Co-rumination in the friendships of girls and boys. Child Development 73(6):1830-1843. PMID: 12487497. DOI: 10.1111/1467-8624.00509.</w:t>
      </w:r>
    </w:p>
    <w:p>
      <w:pPr>
        <w:spacing w:after="80"/>
        <w:ind w:left="425" w:hanging="425"/>
      </w:pPr>
      <w:r>
        <w:rPr>
          <w:rFonts w:ascii="Times New Roman" w:hAnsi="Times New Roman"/>
          <w:sz w:val="20"/>
        </w:rPr>
        <w:t>[7] Stankov L. (2010). Unforgiving Confucian culture: A breeding ground for high academic achievement, test anxiety and self-doubt? Learning and Individual Differences 20(6):555-563. DOI: 10.1016/j.lindif.2010.05.003.</w:t>
      </w:r>
    </w:p>
    <w:p>
      <w:pPr>
        <w:spacing w:after="80"/>
        <w:ind w:left="425" w:hanging="425"/>
      </w:pPr>
      <w:r>
        <w:rPr>
          <w:rFonts w:ascii="Times New Roman" w:hAnsi="Times New Roman"/>
          <w:sz w:val="20"/>
        </w:rPr>
        <w:t>[8] Small S, Blanc J. (2021). Mental Health During COVID-19: Tam Giao and Vietnam's Response. Frontiers in Psychiatry 11:589618. PMID: 33536961. DOI: 10.3389/fpsyt.2020.589618.</w:t>
      </w:r>
    </w:p>
    <w:p>
      <w:pPr>
        <w:spacing w:after="80"/>
        <w:ind w:left="425" w:hanging="425"/>
      </w:pPr>
      <w:r>
        <w:rPr>
          <w:rFonts w:ascii="Times New Roman" w:hAnsi="Times New Roman"/>
          <w:sz w:val="20"/>
        </w:rPr>
        <w:t>[9] Cheung GW, Rensvold RB. (2002). Evaluating goodness-of-fit indexes for testing measurement invariance. Structural Equation Modeling 9(2):233-255.</w:t>
      </w:r>
    </w:p>
    <w:p>
      <w:pPr>
        <w:spacing w:after="80"/>
        <w:ind w:left="425" w:hanging="425"/>
      </w:pPr>
      <w:r>
        <w:rPr>
          <w:rFonts w:ascii="Times New Roman" w:hAnsi="Times New Roman"/>
          <w:sz w:val="20"/>
        </w:rPr>
        <w:t>[10] Chen FF. (2007). Sensitivity of goodness of fit indexes to lack of measurement invariance. Structural Equation Modeling 14(3):464-504.</w:t>
      </w:r>
    </w:p>
    <w:p>
      <w:pPr>
        <w:spacing w:after="80"/>
        <w:ind w:left="425" w:hanging="425"/>
      </w:pPr>
      <w:r>
        <w:rPr>
          <w:rFonts w:ascii="Times New Roman" w:hAnsi="Times New Roman"/>
          <w:sz w:val="20"/>
        </w:rPr>
        <w:t>[11] Hu LT, Bentler PM. (1999). Cutoff criteria for fit indexes in covariance structure analysis. Structural Equation Modeling 6(1):1-55.</w:t>
      </w:r>
    </w:p>
    <w:p>
      <w:pPr>
        <w:spacing w:after="80"/>
        <w:ind w:left="425" w:hanging="425"/>
      </w:pPr>
      <w:r>
        <w:rPr>
          <w:rFonts w:ascii="Times New Roman" w:hAnsi="Times New Roman"/>
          <w:sz w:val="20"/>
        </w:rPr>
        <w:t>[12] Compas BE, Jaser SS, Bettis AH, et al. (2017). Coping, emotion regulation, and psychopathology in childhood and adolescence. Psychological Bulletin 143(9):939-991. PMID: 28616996. DOI: 10.1037/bul0000110.</w:t>
      </w:r>
    </w:p>
    <w:p>
      <w:pPr>
        <w:spacing w:before="400"/>
        <w:jc w:val="center"/>
      </w:pPr>
      <w:r>
        <w:rPr>
          <w:rFonts w:ascii="Times New Roman" w:hAnsi="Times New Roman"/>
          <w:i/>
          <w:color w:val="808080"/>
          <w:sz w:val="20"/>
        </w:rPr>
        <w:t>Soạn 08/06/2026 — Outline Q3 v1, chờ NCS + thầy NMĐ confirm trước khi viết full draft</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