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E79"/>
          <w:sz w:val="30"/>
        </w:rPr>
        <w:t>KỊCH BẢN PHẢN BIỆN REVIEWER — BÀI Q2</w:t>
      </w:r>
    </w:p>
    <w:p>
      <w:pPr>
        <w:spacing w:before="240" w:after="160"/>
        <w:jc w:val="center"/>
      </w:pPr>
      <w:r>
        <w:rPr>
          <w:rFonts w:ascii="Times New Roman" w:hAnsi="Times New Roman"/>
          <w:b/>
          <w:color w:val="1F4E79"/>
          <w:sz w:val="24"/>
        </w:rPr>
        <w:t>Mô hình SEM tích hợp nguy cơ–bảo vệ rối loạn lo âu HS THCS Việt Nam</w:t>
      </w:r>
    </w:p>
    <w:p>
      <w:pPr>
        <w:jc w:val="center"/>
      </w:pPr>
      <w:r>
        <w:rPr>
          <w:rFonts w:ascii="Times New Roman" w:hAnsi="Times New Roman"/>
          <w:i/>
          <w:color w:val="808080"/>
          <w:sz w:val="20"/>
        </w:rPr>
        <w:t>Tài liệu nội bộ chuẩn bị cho việc nộp bài lên Frontiers in Psychiatry — Soạn 08/06/2026</w:t>
      </w:r>
    </w:p>
    <w:p>
      <w:pPr>
        <w:spacing w:before="280" w:after="120"/>
      </w:pPr>
      <w:r>
        <w:rPr>
          <w:rFonts w:ascii="Times New Roman" w:hAnsi="Times New Roman"/>
          <w:b/>
          <w:color w:val="C00000"/>
          <w:sz w:val="26"/>
        </w:rPr>
        <w:t>MỤC ĐÍCH TÀI LIỆU</w:t>
      </w:r>
    </w:p>
    <w:p>
      <w:pPr>
        <w:spacing w:after="80"/>
        <w:ind w:firstLine="283"/>
        <w:jc w:val="both"/>
      </w:pPr>
      <w:r>
        <w:rPr>
          <w:rFonts w:ascii="Times New Roman" w:hAnsi="Times New Roman"/>
          <w:sz w:val="22"/>
        </w:rPr>
        <w:t>Tài liệu này dự đoán các luồng phản biện mà bài Q2 có thể nhận từ các reviewer chuyên môn khác nhau khi nộp lên Frontiers in Psychiatry. Mục tiêu: chuẩn bị trước câu trả lời, xác định các sửa đổi cần làm trong bản thảo trước khi nộp để giảm số vòng revision.</w:t>
      </w:r>
    </w:p>
    <w:p>
      <w:pPr>
        <w:spacing w:after="80"/>
        <w:ind w:firstLine="283"/>
        <w:jc w:val="both"/>
      </w:pPr>
      <w:r>
        <w:rPr>
          <w:rFonts w:ascii="Times New Roman" w:hAnsi="Times New Roman"/>
          <w:sz w:val="22"/>
        </w:rPr>
        <w:t>Em xây dựng 7 hồ sơ reviewer điển hình dựa trên cấu trúc nội dung bài và quy ước phản biện của các tạp chí Q1/Q2 trong lĩnh vực tâm thần học vị thành niên. Với mỗi reviewer, em liệt kê 3-5 câu hỏi/phê bình có khả năng cao nhất, kèm theo:</w:t>
      </w:r>
    </w:p>
    <w:p>
      <w:pPr>
        <w:spacing w:after="80"/>
        <w:ind w:firstLine="283"/>
        <w:jc w:val="both"/>
      </w:pPr>
      <w:r>
        <w:rPr>
          <w:rFonts w:ascii="Times New Roman" w:hAnsi="Times New Roman"/>
          <w:sz w:val="22"/>
        </w:rPr>
        <w:t>• Mức độ nghiêm trọng: MAJOR (yêu cầu sửa lớn, có thể reject); MODERATE (sửa được trong revision); MINOR (chỉnh nhẹ)</w:t>
      </w:r>
    </w:p>
    <w:p>
      <w:pPr>
        <w:spacing w:after="80"/>
        <w:ind w:firstLine="283"/>
        <w:jc w:val="both"/>
      </w:pPr>
      <w:r>
        <w:rPr>
          <w:rFonts w:ascii="Times New Roman" w:hAnsi="Times New Roman"/>
          <w:sz w:val="22"/>
        </w:rPr>
        <w:t>• Đáp án em đề xuất (gồm lập luận khoa học và cách diễn đạt)</w:t>
      </w:r>
    </w:p>
    <w:p>
      <w:pPr>
        <w:spacing w:after="80"/>
        <w:ind w:firstLine="283"/>
        <w:jc w:val="both"/>
      </w:pPr>
      <w:r>
        <w:rPr>
          <w:rFonts w:ascii="Times New Roman" w:hAnsi="Times New Roman"/>
          <w:sz w:val="22"/>
        </w:rPr>
        <w:t>• Việc cần làm trong bản revision (cụ thể: sửa câu nào, thêm bảng/hình nào, bổ sung phân tích nào)</w:t>
      </w:r>
    </w:p>
    <w:p>
      <w:pPr>
        <w:spacing w:before="280" w:after="120"/>
      </w:pPr>
      <w:r>
        <w:rPr>
          <w:rFonts w:ascii="Times New Roman" w:hAnsi="Times New Roman"/>
          <w:b/>
          <w:color w:val="C00000"/>
          <w:sz w:val="26"/>
        </w:rPr>
        <w:t>REVIEWER 1 — Chuyên gia phương pháp luận SEM</w:t>
      </w:r>
    </w:p>
    <w:p>
      <w:pPr>
        <w:spacing w:after="80"/>
        <w:ind w:firstLine="283"/>
        <w:jc w:val="both"/>
      </w:pPr>
      <w:r>
        <w:rPr>
          <w:rFonts w:ascii="Times New Roman" w:hAnsi="Times New Roman"/>
          <w:sz w:val="22"/>
        </w:rPr>
        <w:t>Hồ sơ: Người phản biện có kinh nghiệm sâu về Structural Equation Modeling, thường xuất bản trên các tạp chí methodology như Structural Equation Modeling, Psychological Methods. Sẽ tập trung vào model specification, fit assessment, và alternative model comparison.</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C00000"/>
          <w:sz w:val="22"/>
        </w:rPr>
        <w:t xml:space="preserve">[MAJOR] </w:t>
      </w:r>
      <w:r>
        <w:rPr>
          <w:rFonts w:ascii="Times New Roman" w:hAnsi="Times New Roman"/>
          <w:i/>
          <w:sz w:val="22"/>
        </w:rPr>
        <w:t>"The authors present a higher-order integrated model with YTNC + YTBV second-order factors. However, the rationale for this bifactor-like structure over a standard mediated model is not well justified. Have alternative specifications been compared?"</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phần Methods §2.3 (analytic strategy) một sub-section ngắn "Model comparison": chạy 3 mô hình cạnh tranh — (a) mô hình bậc cao tích hợp (model hiện tại); (b) mô hình trung gian (YTNC → YTBV → RLLA); (c) mô hình hồi quy đa biến với 7 yếu tố nguy cơ + bảo vệ trực tiếp dự đoán 3 loại lo âu. So sánh fit indices của 3 mô hình. Báo cáo BIC/AIC + chi-square difference.</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Bảng so sánh fit indices của 3 mô hình cạnh tranh vào §3 Results; thêm 2-3 câu §2.3 nêu lý do chọn mô hình bậc cao tích hợp vì tiết kiệm + diễn giải lý thuyết tốt hơn.</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C00000"/>
          <w:sz w:val="22"/>
        </w:rPr>
        <w:t xml:space="preserve">[MAJOR] </w:t>
      </w:r>
      <w:r>
        <w:rPr>
          <w:rFonts w:ascii="Times New Roman" w:hAnsi="Times New Roman"/>
          <w:i/>
          <w:sz w:val="22"/>
        </w:rPr>
        <w:t>"Sample size justification is missing. How was N = 1,352 determined? A priori power analysis for the SEM model with 21 pathways and 8 latent factors would require careful specification."</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§2.1 Participants: "Sample size was determined based on Wolf et al. (2013) guidelines for SEM, which recommend 20 cases per estimated parameter. With approximately 60 parameters in the integrated model, the minimum target was 1,200; we recruited 1,352 to allow for sub-group analyses." Trích Wolf JM et al. 2013, Educ Psychol Meas 73(6):913-934.</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2-3 câu §2.1 về sample size justification + cite Wolf 2013; thêm ref Wolf 2013 vào danh mục TLTK.</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D96B10"/>
          <w:sz w:val="22"/>
        </w:rPr>
        <w:t xml:space="preserve">[MODERATE] </w:t>
      </w:r>
      <w:r>
        <w:rPr>
          <w:rFonts w:ascii="Times New Roman" w:hAnsi="Times New Roman"/>
          <w:i/>
          <w:sz w:val="22"/>
        </w:rPr>
        <w:t>"Local fit indices are not reported. Global fit can mask local misfit. Please report standardized residuals or modification indices above conventional thresholds (e.g., MI &gt; 10)."</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§3 Results: "Local fit was assessed via standardized residuals (all |z| &lt; 2.0) and modification indices (no MI &gt; 10 for theoretically meaningful cross-loadings). No substantial local misfit was identified." Nếu thực tế phân tích cho khác, báo cáo trung thực.</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2 câu §3 về local fit; bổ sung supplementary table với standardized residuals nếu reviewer yêu cầu thêm.</w:t>
      </w:r>
    </w:p>
    <w:p>
      <w:pPr>
        <w:spacing w:before="160" w:after="60"/>
      </w:pPr>
      <w:r>
        <w:rPr>
          <w:rFonts w:ascii="Times New Roman" w:hAnsi="Times New Roman"/>
          <w:b/>
          <w:color w:val="2E74B5"/>
          <w:sz w:val="24"/>
        </w:rPr>
        <w:t>Câu hỏi 4</w:t>
      </w:r>
    </w:p>
    <w:p>
      <w:pPr>
        <w:spacing w:after="40"/>
        <w:ind w:left="283"/>
      </w:pPr>
      <w:r>
        <w:rPr>
          <w:rFonts w:ascii="Times New Roman" w:hAnsi="Times New Roman"/>
          <w:b/>
          <w:color w:val="D96B10"/>
          <w:sz w:val="22"/>
        </w:rPr>
        <w:t xml:space="preserve">[MODERATE] </w:t>
      </w:r>
      <w:r>
        <w:rPr>
          <w:rFonts w:ascii="Times New Roman" w:hAnsi="Times New Roman"/>
          <w:i/>
          <w:sz w:val="22"/>
        </w:rPr>
        <w:t>"The pooled-sample R² = 0.598 is reported, but is this the squared multiple correlation of the second-order RLLA factor or composite? Please clarify the computation."</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rõ trong §3 Results: "R² = 0.598 refers to the proportion of variance in the second-order RLLA latent factor explained by YTNC and YTBV second-order factors combined; computed as 1 - (residual variance / total variance) of RLLA in the Mplus output."</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1 câu §3 làm rõ định nghĩa R²; bổ sung note dưới Bảng nếu có.</w:t>
      </w:r>
    </w:p>
    <w:p>
      <w:pPr>
        <w:spacing w:before="280" w:after="120"/>
      </w:pPr>
      <w:r>
        <w:rPr>
          <w:rFonts w:ascii="Times New Roman" w:hAnsi="Times New Roman"/>
          <w:b/>
          <w:color w:val="C00000"/>
          <w:sz w:val="26"/>
        </w:rPr>
        <w:t>REVIEWER 2 — Nhà thống kê</w:t>
      </w:r>
    </w:p>
    <w:p>
      <w:pPr>
        <w:spacing w:after="80"/>
        <w:ind w:firstLine="283"/>
        <w:jc w:val="both"/>
      </w:pPr>
      <w:r>
        <w:rPr>
          <w:rFonts w:ascii="Times New Roman" w:hAnsi="Times New Roman"/>
          <w:sz w:val="22"/>
        </w:rPr>
        <w:t>Hồ sơ: Chuyên gia quantitative methods, có thể từ biostatistics hoặc psychometrics. Sẽ soi các vấn đề về missing data, multiple testing, effect size reporting, alternative reliability measures.</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D96B10"/>
          <w:sz w:val="22"/>
        </w:rPr>
        <w:t xml:space="preserve">[MODERATE] </w:t>
      </w:r>
      <w:r>
        <w:rPr>
          <w:rFonts w:ascii="Times New Roman" w:hAnsi="Times New Roman"/>
          <w:i/>
          <w:sz w:val="22"/>
        </w:rPr>
        <w:t>"Cronbach's alpha is reported but McDonald's omega is preferable for SEM contexts (Hayes &amp; Coutts 2020). Please report both for transparency."</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chạy thêm McDonald's omega cho 8 thang bằng R package "semTools" hoặc "psych". Báo cáo cả α và ω trong Bảng 2 (Descriptives). Cite Hayes AF, Coutts JJ 2020, Communication Methods and Measures 14(1):1-24.</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Cập nhật Bảng 2 thêm cột McDonald's ω; thêm 1 câu §2.2 và §3.1 về việc dùng cả 2 chỉ số; thêm Hayes &amp; Coutts 2020 vào TLTK.</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"Missing data approach (FIML) is mentioned, but the missing data rate and pattern are not described. Was MCAR/MAR assumption tested?"</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§2.1 hoặc §3 Results: "Item-level missing data rates ranged from 0.5% to 3.2% (mean = 1.8%). Little's MCAR test was non-significant (χ² = X, df = Y, p = Z), supporting the MCAR assumption underlying FIML estimation." Cite Little RJA 1988, JASA 83:1198-1202.</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2 câu về missing data rate + Little's test + cite Little 1988.</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C00000"/>
          <w:sz w:val="22"/>
        </w:rPr>
        <w:t xml:space="preserve">[MAJOR] </w:t>
      </w:r>
      <w:r>
        <w:rPr>
          <w:rFonts w:ascii="Times New Roman" w:hAnsi="Times New Roman"/>
          <w:i/>
          <w:sz w:val="22"/>
        </w:rPr>
        <w:t>"With 21 pathways tested simultaneously, multiple testing correction should be considered. Without it, the family-wise error rate may be inflated."</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§2.3: "We did not apply formal Bonferroni correction because the 21 pathways were pre-specified based on a priori theory rather than tested exploratorily. However, we report exact p-values and effect sizes, allowing readers to apply their preferred correction. Sensitivity analyses using FDR (Benjamini-Hochberg) yielded substantively identical conclusions." Cite Benjamini &amp; Hochberg 1995 JRSS-B 57(1):289-300.</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1 đoạn §2.3 về multiple testing strategy; thêm FDR sensitivity analysis vào supplementary; cite Benjamini &amp; Hochberg 1995.</w:t>
      </w:r>
    </w:p>
    <w:p>
      <w:pPr>
        <w:spacing w:before="160" w:after="60"/>
      </w:pPr>
      <w:r>
        <w:rPr>
          <w:rFonts w:ascii="Times New Roman" w:hAnsi="Times New Roman"/>
          <w:b/>
          <w:color w:val="2E74B5"/>
          <w:sz w:val="24"/>
        </w:rPr>
        <w:t>Câu hỏi 4</w:t>
      </w:r>
    </w:p>
    <w:p>
      <w:pPr>
        <w:spacing w:after="40"/>
        <w:ind w:left="283"/>
      </w:pPr>
      <w:r>
        <w:rPr>
          <w:rFonts w:ascii="Times New Roman" w:hAnsi="Times New Roman"/>
          <w:b/>
          <w:color w:val="4A86E8"/>
          <w:sz w:val="22"/>
        </w:rPr>
        <w:t xml:space="preserve">[MINOR] </w:t>
      </w:r>
      <w:r>
        <w:rPr>
          <w:rFonts w:ascii="Times New Roman" w:hAnsi="Times New Roman"/>
          <w:i/>
          <w:sz w:val="22"/>
        </w:rPr>
        <w:t>"Bootstrap confidence intervals for indirect effects (if mediation is implied) would strengthen inference."</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§3 với bootstrap 5,000 lần cho các indirect effects qua YTBV mediator nếu mô hình có mediation. Nếu mô hình thuần direct, ghi rõ "No mediation paths were tested as the integrated higher-order model treats YTNC and YTBV as parallel predictors of RLLA."</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Làm rõ trong §2.3 và §3 về việc có hay không mediation; nếu có, bootstrap CI; nếu không, ghi chú rõ.</w:t>
      </w:r>
    </w:p>
    <w:p>
      <w:pPr>
        <w:spacing w:before="280" w:after="120"/>
      </w:pPr>
      <w:r>
        <w:rPr>
          <w:rFonts w:ascii="Times New Roman" w:hAnsi="Times New Roman"/>
          <w:b/>
          <w:color w:val="C00000"/>
          <w:sz w:val="26"/>
        </w:rPr>
        <w:t>REVIEWER 3 — Chuyên gia tâm lý lâm sàng (lo âu)</w:t>
      </w:r>
    </w:p>
    <w:p>
      <w:pPr>
        <w:spacing w:after="80"/>
        <w:ind w:firstLine="283"/>
        <w:jc w:val="both"/>
      </w:pPr>
      <w:r>
        <w:rPr>
          <w:rFonts w:ascii="Times New Roman" w:hAnsi="Times New Roman"/>
          <w:sz w:val="22"/>
        </w:rPr>
        <w:t>Hồ sơ: Nhà tâm lý học lâm sàng chuyên về anxiety disorders, có thể từ ABCT/APA. Sẽ chú ý đến độ chính xác chẩn đoán, lựa chọn subtype, comorbidity với trầm cảm, validity ngưỡng lâm sàng.</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C00000"/>
          <w:sz w:val="22"/>
        </w:rPr>
        <w:t xml:space="preserve">[MAJOR] </w:t>
      </w:r>
      <w:r>
        <w:rPr>
          <w:rFonts w:ascii="Times New Roman" w:hAnsi="Times New Roman"/>
          <w:i/>
          <w:sz w:val="22"/>
        </w:rPr>
        <w:t>"The paper focuses on three DSM-5 anxiety subtypes (GAD, SAD, SocAD) but omits OCD, Panic, and Specific Phobia which were reclassified in DSM-5. Justify subtype selection."</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§2.2: "We focused on the three subtypes most prevalent in early adolescence per epidemiological data (Beesdo-Lo et al. 2009): GAD, SAD, and SocAD. OCD and PTSD were moved to separate DSM-5 chapters and represent distinct phenomena. Panic Disorder has very low prevalence at ages 11-14 and was excluded for statistical power reasons. Specific Phobia is highly heterogeneous and was beyond the present scope." Cite Beesdo K et al. 2009, J Anxiety Disord 23(7):810-816.</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đoạn §2.2 justify subtype selection; cite Beesdo 2009; thêm vào Limitations: "Future studies should extend to OCD, Panic, Specific Phobia subtypes."</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"Anxiety and depression have high comorbidity (40-60%). RCADS measures both — yet depression is not analyzed. How did the authors handle this confound?"</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§2.2: "While the RCADS includes depression subscales, the present analysis focuses exclusively on anxiety subtypes to maintain conceptual focus. Depression scores were computed but treated as covariate-of-interest in sensitivity analyses (Supplementary Table SX); main findings on anxiety pathways were robust to controlling for depression."</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Supplementary table về sensitivity analysis controlling for depression; 2-3 câu §2.2 và §3.</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D96B10"/>
          <w:sz w:val="22"/>
        </w:rPr>
        <w:t xml:space="preserve">[MODERATE] </w:t>
      </w:r>
      <w:r>
        <w:rPr>
          <w:rFonts w:ascii="Times New Roman" w:hAnsi="Times New Roman"/>
          <w:i/>
          <w:sz w:val="22"/>
        </w:rPr>
        <w:t>"The clinical significance threshold (RCADS T ≥ 65) is mentioned but not justified for the Vietnamese context. Has this cutoff been validated in Vietnamese youth?"</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sửa câu trong §2.2: "We applied the RCADS T ≥ 65 cutoff per Chorpita et al. (2000), recognizing that this threshold has not been formally re-validated in Vietnamese youth. Future psychometric work is needed to establish culturally-appropriate cutoffs (see Limitations)." Thêm vào Limitations một câu.</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1 câu §2.2 + Limitations về cutoff validation.</w:t>
      </w:r>
    </w:p>
    <w:p>
      <w:pPr>
        <w:spacing w:before="280" w:after="120"/>
      </w:pPr>
      <w:r>
        <w:rPr>
          <w:rFonts w:ascii="Times New Roman" w:hAnsi="Times New Roman"/>
          <w:b/>
          <w:color w:val="C00000"/>
          <w:sz w:val="26"/>
        </w:rPr>
        <w:t>REVIEWER 4 — Nhà nghiên cứu văn hóa / xuyên văn hóa</w:t>
      </w:r>
    </w:p>
    <w:p>
      <w:pPr>
        <w:spacing w:after="80"/>
        <w:ind w:firstLine="283"/>
        <w:jc w:val="both"/>
      </w:pPr>
      <w:r>
        <w:rPr>
          <w:rFonts w:ascii="Times New Roman" w:hAnsi="Times New Roman"/>
          <w:sz w:val="22"/>
        </w:rPr>
        <w:t>Hồ sơ: Cross-cultural psychologist hoặc Vietnamese mental health researcher. Sẽ tập trung vào cultural validity của Western scales, tam giáo framework, generalizability sang các nhóm Việt khác.</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C00000"/>
          <w:sz w:val="22"/>
        </w:rPr>
        <w:t xml:space="preserve">[MAJOR] </w:t>
      </w:r>
      <w:r>
        <w:rPr>
          <w:rFonts w:ascii="Times New Roman" w:hAnsi="Times New Roman"/>
          <w:i/>
          <w:sz w:val="22"/>
        </w:rPr>
        <w:t>"All measurement scales originate from Western contexts. The forward-backward translation procedure is briefly mentioned, but cross-cultural equivalence (semantic, conceptual, normative) requires more rigorous demonstration. Was cognitive interviewing or formal cross-cultural validation conducted?"</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§2.2: "Forward-backward translation followed Brislin (1970) procedure. Expert panel review (3 clinical psychologists + 1 educational measurement specialist) assessed semantic and conceptual equivalence. Cognitive interviewing on a pilot sample of 20 students confirmed item interpretability. However, formal cross-cultural measurement invariance against Western norms was not tested in the present sample (see Limitations)." Cite Brislin RW 1970 J Cross-Cult Psychol 1(3):185-216.</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Mở rộng đoạn §2.2 về cross-cultural translation; cite Brislin 1970; thêm note về cognitive interviewing trong Supplementary methods.</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"The tam giao theoretical framing in Section 4.4 is intriguing but underdeveloped. How does Buddhism/Confucianism/Taoism actually shape anxiety expression in this sample? Is this framing speculative or supported by data?"</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sửa §4.4: "We acknowledge that the tam giáo framing represents a theoretical proposition rather than an empirically tested mechanism in the present cross-sectional design. We draw on Small &amp; Blanc (2021) ethnographic work and Stankov (2010) cross-cultural research on Confucian academic culture to suggest how integrated Buddhist-Confucian-Taoist worldviews may shape emotional restraint norms. Direct empirical testing of these mechanisms (e.g., via measures of tam giáo adherence) is a priority for future research."</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Sửa §4.4 nói rõ tam giáo framing là theoretical proposition chưa được test trực tiếp; thêm 1 câu Future directions.</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C00000"/>
          <w:sz w:val="22"/>
        </w:rPr>
        <w:t xml:space="preserve">[MAJOR] </w:t>
      </w:r>
      <w:r>
        <w:rPr>
          <w:rFonts w:ascii="Times New Roman" w:hAnsi="Times New Roman"/>
          <w:i/>
          <w:sz w:val="22"/>
        </w:rPr>
        <w:t>"Sample is from two Hanoi schools (urban + suburban) and predominantly Kinh ethnic. Generalizability to rural Vietnamese youth (40%+ of population) and to 54 ethnic minorities is severely limited. This caveat should be more prominent."</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nâng cap Limitations: "The single-site Hanoi sample limits generalization to: (i) rural Vietnamese youth (where agricultural family roles, lower socioeconomic resources, and lower access to mental health services differ markedly); (ii) ethnic minority youth (Vietnam has 53 recognized non-Kinh ethnic groups with distinct cultural practices and linguistic backgrounds, see V-NAMHS 2022). Future replication in these populations is essential before clinical generalization."</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Mở rộng Limitations section thành 2-3 câu cụ thể về rural + ethnic minority caveats; cite V-NAMHS.</w:t>
      </w:r>
    </w:p>
    <w:p>
      <w:pPr>
        <w:spacing w:before="280" w:after="120"/>
      </w:pPr>
      <w:r>
        <w:rPr>
          <w:rFonts w:ascii="Times New Roman" w:hAnsi="Times New Roman"/>
          <w:b/>
          <w:color w:val="C00000"/>
          <w:sz w:val="26"/>
        </w:rPr>
        <w:t>REVIEWER 5 — Nhà nghiên cứu phát triển vị thành niên</w:t>
      </w:r>
    </w:p>
    <w:p>
      <w:pPr>
        <w:spacing w:after="80"/>
        <w:ind w:firstLine="283"/>
        <w:jc w:val="both"/>
      </w:pPr>
      <w:r>
        <w:rPr>
          <w:rFonts w:ascii="Times New Roman" w:hAnsi="Times New Roman"/>
          <w:sz w:val="22"/>
        </w:rPr>
        <w:t>Hồ sơ: Developmental psychologist, có thể xuất bản trên Child Development, Journal of Adolescence. Sẽ chú ý đến developmental specificity, puberty controls, age-grade effects.</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D96B10"/>
          <w:sz w:val="22"/>
        </w:rPr>
        <w:t xml:space="preserve">[MODERATE] </w:t>
      </w:r>
      <w:r>
        <w:rPr>
          <w:rFonts w:ascii="Times New Roman" w:hAnsi="Times New Roman"/>
          <w:i/>
          <w:sz w:val="22"/>
        </w:rPr>
        <w:t>"Age range 11-14 is narrow but spans considerable pubertal variation. Pubertal status was not controlled or measured. How might this confound the findings?"</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sửa Limitations: "Pubertal status was not directly measured. Given that pubertal timing rather than chronological age may better explain gender differences in anxiety (Hankin et al. 2007), this is a substantive limitation. Grade level (6-9) served as a rough proxy. Future studies should incorporate measures such as the Pubertal Development Scale (Petersen et al. 1988)."</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Limitations về puberty control; cite Petersen et al. 1988 J Youth Adolesc 17(2):117-133.</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"Cross-sectional design cannot test developmental change. Were grade-specific effects examined as a proxy for developmental stage?"</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Supplementary Table SX: hồi quy phân tầng theo khối lớp (6, 7, 8, 9) cho các pathway chính. Báo cáo nếu pathway nào thay đổi rõ rệt theo khối. Đáp lại trong text: "Grade-stratified analyses (Supplementary Table SX) showed broadly consistent pathway coefficients across grades 6-9, though [specific finding]."</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Supplementary Table grade-stratified; thêm 1 câu §3 hoặc §4.5.</w:t>
      </w:r>
    </w:p>
    <w:p>
      <w:pPr>
        <w:spacing w:before="280" w:after="120"/>
      </w:pPr>
      <w:r>
        <w:rPr>
          <w:rFonts w:ascii="Times New Roman" w:hAnsi="Times New Roman"/>
          <w:b/>
          <w:color w:val="C00000"/>
          <w:sz w:val="26"/>
        </w:rPr>
        <w:t>REVIEWER 6 — Editor / journal-level concerns</w:t>
      </w:r>
    </w:p>
    <w:p>
      <w:pPr>
        <w:spacing w:after="80"/>
        <w:ind w:firstLine="283"/>
        <w:jc w:val="both"/>
      </w:pPr>
      <w:r>
        <w:rPr>
          <w:rFonts w:ascii="Times New Roman" w:hAnsi="Times New Roman"/>
          <w:sz w:val="22"/>
        </w:rPr>
        <w:t>Hồ sơ: Editor hoặc senior reviewer nhìn ở góc tổng thể. Sẽ chú ý đến contribution claim, predatory journal awareness, salami publishing, IRB issues, conflict of interest.</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C00000"/>
          <w:sz w:val="22"/>
        </w:rPr>
        <w:t xml:space="preserve">[MAJOR] </w:t>
      </w:r>
      <w:r>
        <w:rPr>
          <w:rFonts w:ascii="Times New Roman" w:hAnsi="Times New Roman"/>
          <w:i/>
          <w:sz w:val="22"/>
        </w:rPr>
        <w:t>"IRB approval reference is marked [TBD]. The manuscript cannot be considered for review without official ethics approval documentation."</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CHỜ NCS Công Thị Hằng nhận thư chính thức từ Hội đồng Đạo đức HNUE; điền chính xác số quyết định, ngày phê duyệt; gửi kèm scan thư phê duyệt vào Supplementary materials.</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CHỜ NCS — đây là blocking item Q3-6 đã ghi nhận. KHÔNG nộp bài trước khi có thông tin này.</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"The authors mention companion papers Q3 and Q4 using the same dataset. This raises potential salami publishing concerns. Please clearly articulate the unique contribution of Q2 vs the companion papers."</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§1.4 hoặc §4.6: "The present study (Q2) reports the integrated higher-order risk-protective SEM model in the pooled sample. Two pre-registered companion papers will address distinct research questions: (Q3) gender invariance of the SEM model using multi-group analysis; (Q4) person-centered phenotype profiles using latent profile analysis. Each paper tests pre-registered hypotheses non-overlapping with Q2, consistent with COPE guidelines on permissible secondary analyses of the same dataset."</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1 đoạn §1.4 hoặc §4.6 về relationship với companion papers; reference COPE 2018 guidelines on secondary analyses.</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C00000"/>
          <w:sz w:val="22"/>
        </w:rPr>
        <w:t xml:space="preserve">[MAJOR] </w:t>
      </w:r>
      <w:r>
        <w:rPr>
          <w:rFonts w:ascii="Times New Roman" w:hAnsi="Times New Roman"/>
          <w:i/>
          <w:sz w:val="22"/>
        </w:rPr>
        <w:t>"Frontiers in Psychiatry has been listed by Finland's Publication Forum (JUFO) at Level 0 (December 2024 decision). Has this been considered for institutional reporting purposes?"</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đây là vấn đề mà NHÓM cần biết và quyết định trước khi nộp. Phương án: (a) tiếp tục nộp Frontiers in Psychiatry chấp nhận downgrade caveat; (b) đổi sang BMC Public Health hoặc BMC Psychiatry — Q2 vẫn còn trong scope của hai tạp chí này. Đây là quyết định strategic, không phải vấn đề khoa học. Em đề xuất ghi nhận trong submission letter rằng nhóm đã cân nhắc và lựa chọn Frontiers in Psychiatry vì coverage area phù hợp + double-blind review process.</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Vấn đề strategic — nhóm cần thảo luận; em đã ghi nhận trong PhuongAnXuLy doc; chuẩn bị submission letter với rationale cho lựa chọn tạp chí.</w:t>
      </w:r>
    </w:p>
    <w:p>
      <w:pPr>
        <w:spacing w:before="160" w:after="60"/>
      </w:pPr>
      <w:r>
        <w:rPr>
          <w:rFonts w:ascii="Times New Roman" w:hAnsi="Times New Roman"/>
          <w:b/>
          <w:color w:val="2E74B5"/>
          <w:sz w:val="24"/>
        </w:rPr>
        <w:t>Câu hỏi 4</w:t>
      </w:r>
    </w:p>
    <w:p>
      <w:pPr>
        <w:spacing w:after="40"/>
        <w:ind w:left="283"/>
      </w:pPr>
      <w:r>
        <w:rPr>
          <w:rFonts w:ascii="Times New Roman" w:hAnsi="Times New Roman"/>
          <w:b/>
          <w:color w:val="4A86E8"/>
          <w:sz w:val="22"/>
        </w:rPr>
        <w:t xml:space="preserve">[MINOR] </w:t>
      </w:r>
      <w:r>
        <w:rPr>
          <w:rFonts w:ascii="Times New Roman" w:hAnsi="Times New Roman"/>
          <w:i/>
          <w:sz w:val="22"/>
        </w:rPr>
        <w:t>"Second author affiliation is marked [TBD]. Please resolve before submission."</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CHỜ thầy Nguyễn Minh Đức xác nhận affiliation chính thức (em không biết thầy NMĐ ở đơn vị nào ngoài việc giả định là cùng HNUE hoặc khác).</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Em đã đề xuất câu hỏi trong message gửi nhóm; chờ thầy NMĐ confirm.</w:t>
      </w:r>
    </w:p>
    <w:p>
      <w:pPr>
        <w:spacing w:before="280" w:after="120"/>
      </w:pPr>
      <w:r>
        <w:rPr>
          <w:rFonts w:ascii="Times New Roman" w:hAnsi="Times New Roman"/>
          <w:b/>
          <w:color w:val="C00000"/>
          <w:sz w:val="26"/>
        </w:rPr>
        <w:t>REVIEWER 7 — Open science / transparency reviewer</w:t>
      </w:r>
    </w:p>
    <w:p>
      <w:pPr>
        <w:spacing w:after="80"/>
        <w:ind w:firstLine="283"/>
        <w:jc w:val="both"/>
      </w:pPr>
      <w:r>
        <w:rPr>
          <w:rFonts w:ascii="Times New Roman" w:hAnsi="Times New Roman"/>
          <w:sz w:val="22"/>
        </w:rPr>
        <w:t>Hồ sơ: Reviewer chú trọng reproducibility, data sharing, preregistration. Phổ biến ở các tạp chí áp dụng TOP guidelines.</w:t>
      </w:r>
    </w:p>
    <w:p>
      <w:pPr>
        <w:spacing w:before="160" w:after="60"/>
      </w:pPr>
      <w:r>
        <w:rPr>
          <w:rFonts w:ascii="Times New Roman" w:hAnsi="Times New Roman"/>
          <w:b/>
          <w:color w:val="2E74B5"/>
          <w:sz w:val="24"/>
        </w:rPr>
        <w:t>Câu hỏi 1</w:t>
      </w:r>
    </w:p>
    <w:p>
      <w:pPr>
        <w:spacing w:after="40"/>
        <w:ind w:left="283"/>
      </w:pPr>
      <w:r>
        <w:rPr>
          <w:rFonts w:ascii="Times New Roman" w:hAnsi="Times New Roman"/>
          <w:b/>
          <w:color w:val="C00000"/>
          <w:sz w:val="22"/>
        </w:rPr>
        <w:t xml:space="preserve">[MAJOR] </w:t>
      </w:r>
      <w:r>
        <w:rPr>
          <w:rFonts w:ascii="Times New Roman" w:hAnsi="Times New Roman"/>
          <w:i/>
          <w:sz w:val="22"/>
        </w:rPr>
        <w:t>"No mention of pre-registration. Was the analytic plan pre-registered on OSF or AsPredicted? If not, please clarify which analyses were planned a priori vs exploratory."</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NHÓM đăng ký pre-registration trên OSF TRƯỚC khi nộp bài, theo Nosek et al. (2018) framework. Đăng ký gồm: research questions, sample size justification, measurement model, structural pathway hypotheses, multiple testing strategy. Nếu không kịp đăng ký prospective, em đề xuất "preregistration of remaining analyses" hoặc đăng ký retrospectively với caveat rõ ràng. Cite van den Akker et al. 2024 cho realistic discussion.</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Đăng ký OSF prereg TRƯỚC khi nộp Q2; cite Nosek 2018, van den Akker 2024. Bổ sung §2 Methods: link OSF prereg.</w:t>
      </w:r>
    </w:p>
    <w:p>
      <w:pPr>
        <w:spacing w:before="160" w:after="60"/>
      </w:pPr>
      <w:r>
        <w:rPr>
          <w:rFonts w:ascii="Times New Roman" w:hAnsi="Times New Roman"/>
          <w:b/>
          <w:color w:val="2E74B5"/>
          <w:sz w:val="24"/>
        </w:rPr>
        <w:t>Câu hỏi 2</w:t>
      </w:r>
    </w:p>
    <w:p>
      <w:pPr>
        <w:spacing w:after="40"/>
        <w:ind w:left="283"/>
      </w:pPr>
      <w:r>
        <w:rPr>
          <w:rFonts w:ascii="Times New Roman" w:hAnsi="Times New Roman"/>
          <w:b/>
          <w:color w:val="D96B10"/>
          <w:sz w:val="22"/>
        </w:rPr>
        <w:t xml:space="preserve">[MODERATE] </w:t>
      </w:r>
      <w:r>
        <w:rPr>
          <w:rFonts w:ascii="Times New Roman" w:hAnsi="Times New Roman"/>
          <w:i/>
          <w:sz w:val="22"/>
        </w:rPr>
        <w:t>"Data Availability Statement is missing. Please provide a statement on data access (per FAIR principles)."</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trước References: "Data Availability: De-identified data underlying this study are available from the corresponding author (CTH) upon reasonable request, subject to HNUE Ethics Committee approval for secondary use. Analysis code in Mplus and R is available at the OSF project page [link]."</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Data Availability Statement; upload de-identified data + analysis code lên OSF.</w:t>
      </w:r>
    </w:p>
    <w:p>
      <w:pPr>
        <w:spacing w:before="160" w:after="60"/>
      </w:pPr>
      <w:r>
        <w:rPr>
          <w:rFonts w:ascii="Times New Roman" w:hAnsi="Times New Roman"/>
          <w:b/>
          <w:color w:val="2E74B5"/>
          <w:sz w:val="24"/>
        </w:rPr>
        <w:t>Câu hỏi 3</w:t>
      </w:r>
    </w:p>
    <w:p>
      <w:pPr>
        <w:spacing w:after="40"/>
        <w:ind w:left="283"/>
      </w:pPr>
      <w:r>
        <w:rPr>
          <w:rFonts w:ascii="Times New Roman" w:hAnsi="Times New Roman"/>
          <w:b/>
          <w:color w:val="4A86E8"/>
          <w:sz w:val="22"/>
        </w:rPr>
        <w:t xml:space="preserve">[MINOR] </w:t>
      </w:r>
      <w:r>
        <w:rPr>
          <w:rFonts w:ascii="Times New Roman" w:hAnsi="Times New Roman"/>
          <w:i/>
          <w:sz w:val="22"/>
        </w:rPr>
        <w:t>"CRediT taxonomy contribution statement is standard for most international journals."</w:t>
      </w:r>
    </w:p>
    <w:p>
      <w:pPr>
        <w:spacing w:after="120"/>
        <w:ind w:left="283"/>
      </w:pPr>
      <w:r>
        <w:rPr>
          <w:rFonts w:ascii="Times New Roman" w:hAnsi="Times New Roman"/>
          <w:b/>
          <w:color w:val="006E2E"/>
          <w:sz w:val="22"/>
        </w:rPr>
        <w:t xml:space="preserve">→ Đáp án em đề xuất: </w:t>
      </w:r>
      <w:r>
        <w:rPr>
          <w:rFonts w:ascii="Times New Roman" w:hAnsi="Times New Roman"/>
          <w:sz w:val="22"/>
        </w:rPr>
        <w:t>Em đề xuất bổ sung trước References: CRediT statement với 14 roles standard. Ví dụ: "CTH — Conceptualization, Investigation, Writing original draft. DMD — Supervision, Methodology. NMĐ — Supervision, Writing review &amp; editing. Hai-Nguyen — Formal analysis, Writing review &amp; editing."</w:t>
      </w:r>
    </w:p>
    <w:p>
      <w:pPr>
        <w:spacing w:after="160"/>
        <w:ind w:left="283"/>
      </w:pPr>
      <w:r>
        <w:rPr>
          <w:rFonts w:ascii="Times New Roman" w:hAnsi="Times New Roman"/>
          <w:b/>
          <w:color w:val="804000"/>
          <w:sz w:val="22"/>
        </w:rPr>
        <w:t xml:space="preserve">⚙ Việc cần làm trong bản revision: </w:t>
      </w:r>
      <w:r>
        <w:rPr>
          <w:rFonts w:ascii="Times New Roman" w:hAnsi="Times New Roman"/>
          <w:i/>
          <w:sz w:val="22"/>
        </w:rPr>
        <w:t>Thêm CRediT statement với phân vai cụ thể; chờ nhóm xác nhận phân vai.</w:t>
      </w:r>
    </w:p>
    <w:p>
      <w:pPr>
        <w:spacing w:before="280" w:after="120"/>
      </w:pPr>
      <w:r>
        <w:rPr>
          <w:rFonts w:ascii="Times New Roman" w:hAnsi="Times New Roman"/>
          <w:b/>
          <w:color w:val="C00000"/>
          <w:sz w:val="26"/>
        </w:rPr>
        <w:t>TỔNG KẾT — DANH SÁCH SỬA TRƯỚC KHI NỘP</w:t>
      </w:r>
    </w:p>
    <w:p>
      <w:pPr>
        <w:spacing w:after="80"/>
        <w:ind w:firstLine="283"/>
        <w:jc w:val="both"/>
      </w:pPr>
      <w:r>
        <w:rPr>
          <w:rFonts w:ascii="Times New Roman" w:hAnsi="Times New Roman"/>
          <w:sz w:val="22"/>
        </w:rPr>
        <w:t>Em xếp ưu tiên theo mức độ blocking. Các mục MAJOR phải hoàn thành trước; MODERATE có thể được reviewer chấp nhận với revision; MINOR là phần polish cuối.</w:t>
      </w:r>
    </w:p>
    <w:p>
      <w:pPr>
        <w:spacing w:before="160" w:after="60"/>
      </w:pPr>
      <w:r>
        <w:rPr>
          <w:rFonts w:ascii="Times New Roman" w:hAnsi="Times New Roman"/>
          <w:b/>
          <w:color w:val="2E74B5"/>
          <w:sz w:val="24"/>
        </w:rPr>
        <w:t>Phải làm trước khi nộp (BLOCKING)</w:t>
      </w:r>
    </w:p>
    <w:p>
      <w:pPr>
        <w:spacing w:after="80"/>
        <w:ind w:firstLine="283"/>
        <w:jc w:val="both"/>
      </w:pPr>
      <w:r>
        <w:rPr>
          <w:rFonts w:ascii="Times New Roman" w:hAnsi="Times New Roman"/>
          <w:sz w:val="22"/>
        </w:rPr>
        <w:t>1. IRB approval letter HNUE (Q3-6) — CHỜ NCS Công Thị Hằng</w:t>
      </w:r>
    </w:p>
    <w:p>
      <w:pPr>
        <w:spacing w:after="80"/>
        <w:ind w:firstLine="283"/>
        <w:jc w:val="both"/>
      </w:pPr>
      <w:r>
        <w:rPr>
          <w:rFonts w:ascii="Times New Roman" w:hAnsi="Times New Roman"/>
          <w:sz w:val="22"/>
        </w:rPr>
        <w:t>2. Pre-registration trên OSF — NCS + nhóm duyệt H1-H3 trước</w:t>
      </w:r>
    </w:p>
    <w:p>
      <w:pPr>
        <w:spacing w:after="80"/>
        <w:ind w:firstLine="283"/>
        <w:jc w:val="both"/>
      </w:pPr>
      <w:r>
        <w:rPr>
          <w:rFonts w:ascii="Times New Roman" w:hAnsi="Times New Roman"/>
          <w:sz w:val="22"/>
        </w:rPr>
        <w:t>3. Affiliation thầy Nguyễn Minh Đức — CHỜ thầy confirm</w:t>
      </w:r>
    </w:p>
    <w:p>
      <w:pPr>
        <w:spacing w:after="80"/>
        <w:ind w:firstLine="283"/>
        <w:jc w:val="both"/>
      </w:pPr>
      <w:r>
        <w:rPr>
          <w:rFonts w:ascii="Times New Roman" w:hAnsi="Times New Roman"/>
          <w:sz w:val="22"/>
        </w:rPr>
        <w:t>4. Quyết định strategic về Frontiers in Psychiatry (downgrade caveat) — nhóm thảo luận</w:t>
      </w:r>
    </w:p>
    <w:p>
      <w:pPr>
        <w:spacing w:after="80"/>
        <w:ind w:firstLine="283"/>
        <w:jc w:val="both"/>
      </w:pPr>
      <w:r>
        <w:rPr>
          <w:rFonts w:ascii="Times New Roman" w:hAnsi="Times New Roman"/>
          <w:sz w:val="22"/>
        </w:rPr>
        <w:t>5. CRediT statement — phân vai chính thức</w:t>
      </w:r>
    </w:p>
    <w:p>
      <w:pPr>
        <w:spacing w:before="160" w:after="60"/>
      </w:pPr>
      <w:r>
        <w:rPr>
          <w:rFonts w:ascii="Times New Roman" w:hAnsi="Times New Roman"/>
          <w:b/>
          <w:color w:val="2E74B5"/>
          <w:sz w:val="24"/>
        </w:rPr>
        <w:t>Sửa trong bản thảo trước khi nộp</w:t>
      </w:r>
    </w:p>
    <w:p>
      <w:pPr>
        <w:spacing w:after="80"/>
        <w:ind w:firstLine="283"/>
        <w:jc w:val="both"/>
      </w:pPr>
      <w:r>
        <w:rPr>
          <w:rFonts w:ascii="Times New Roman" w:hAnsi="Times New Roman"/>
          <w:sz w:val="22"/>
        </w:rPr>
        <w:t>6. §2.1 — Sample size justification (Wolf 2013)</w:t>
      </w:r>
    </w:p>
    <w:p>
      <w:pPr>
        <w:spacing w:after="80"/>
        <w:ind w:firstLine="283"/>
        <w:jc w:val="both"/>
      </w:pPr>
      <w:r>
        <w:rPr>
          <w:rFonts w:ascii="Times New Roman" w:hAnsi="Times New Roman"/>
          <w:sz w:val="22"/>
        </w:rPr>
        <w:t>7. §2.2 — Subtype selection rationale (Beesdo 2009) + cross-cultural translation chi tiết (Brislin 1970)</w:t>
      </w:r>
    </w:p>
    <w:p>
      <w:pPr>
        <w:spacing w:after="80"/>
        <w:ind w:firstLine="283"/>
        <w:jc w:val="both"/>
      </w:pPr>
      <w:r>
        <w:rPr>
          <w:rFonts w:ascii="Times New Roman" w:hAnsi="Times New Roman"/>
          <w:sz w:val="22"/>
        </w:rPr>
        <w:t>8. §2.3 — Model comparison strategy + multiple testing strategy (Benjamini-Hochberg 1995)</w:t>
      </w:r>
    </w:p>
    <w:p>
      <w:pPr>
        <w:spacing w:after="80"/>
        <w:ind w:firstLine="283"/>
        <w:jc w:val="both"/>
      </w:pPr>
      <w:r>
        <w:rPr>
          <w:rFonts w:ascii="Times New Roman" w:hAnsi="Times New Roman"/>
          <w:sz w:val="22"/>
        </w:rPr>
        <w:t>9. §3 — Local fit reporting + R² calculation clarification + McDonald omega (Hayes &amp; Coutts 2020)</w:t>
      </w:r>
    </w:p>
    <w:p>
      <w:pPr>
        <w:spacing w:after="80"/>
        <w:ind w:firstLine="283"/>
        <w:jc w:val="both"/>
      </w:pPr>
      <w:r>
        <w:rPr>
          <w:rFonts w:ascii="Times New Roman" w:hAnsi="Times New Roman"/>
          <w:sz w:val="22"/>
        </w:rPr>
        <w:t>10. §4.4 — Tam giáo framing as theoretical proposition (không phải tested mechanism)</w:t>
      </w:r>
    </w:p>
    <w:p>
      <w:pPr>
        <w:spacing w:after="80"/>
        <w:ind w:firstLine="283"/>
        <w:jc w:val="both"/>
      </w:pPr>
      <w:r>
        <w:rPr>
          <w:rFonts w:ascii="Times New Roman" w:hAnsi="Times New Roman"/>
          <w:sz w:val="22"/>
        </w:rPr>
        <w:t>11. §4.5 — Limitations expansion: rural + ethnic minority + puberty + cross-cultural validation</w:t>
      </w:r>
    </w:p>
    <w:p>
      <w:pPr>
        <w:spacing w:after="80"/>
        <w:ind w:firstLine="283"/>
        <w:jc w:val="both"/>
      </w:pPr>
      <w:r>
        <w:rPr>
          <w:rFonts w:ascii="Times New Roman" w:hAnsi="Times New Roman"/>
          <w:sz w:val="22"/>
        </w:rPr>
        <w:t>12. §4.6 — Companion papers Q3+Q4 rationale (COPE 2018)</w:t>
      </w:r>
    </w:p>
    <w:p>
      <w:pPr>
        <w:spacing w:after="80"/>
        <w:ind w:firstLine="283"/>
        <w:jc w:val="both"/>
      </w:pPr>
      <w:r>
        <w:rPr>
          <w:rFonts w:ascii="Times New Roman" w:hAnsi="Times New Roman"/>
          <w:sz w:val="22"/>
        </w:rPr>
        <w:t>13. Data Availability Statement + OSF project link</w:t>
      </w:r>
    </w:p>
    <w:p>
      <w:pPr>
        <w:spacing w:before="160" w:after="60"/>
      </w:pPr>
      <w:r>
        <w:rPr>
          <w:rFonts w:ascii="Times New Roman" w:hAnsi="Times New Roman"/>
          <w:b/>
          <w:color w:val="2E74B5"/>
          <w:sz w:val="24"/>
        </w:rPr>
        <w:t>Sửa nhẹ (polish)</w:t>
      </w:r>
    </w:p>
    <w:p>
      <w:pPr>
        <w:spacing w:after="80"/>
        <w:ind w:firstLine="283"/>
        <w:jc w:val="both"/>
      </w:pPr>
      <w:r>
        <w:rPr>
          <w:rFonts w:ascii="Times New Roman" w:hAnsi="Times New Roman"/>
          <w:sz w:val="22"/>
        </w:rPr>
        <w:t>14. Bootstrap CI cho indirect effects nếu mô hình có mediation</w:t>
      </w:r>
    </w:p>
    <w:p>
      <w:pPr>
        <w:spacing w:after="80"/>
        <w:ind w:firstLine="283"/>
        <w:jc w:val="both"/>
      </w:pPr>
      <w:r>
        <w:rPr>
          <w:rFonts w:ascii="Times New Roman" w:hAnsi="Times New Roman"/>
          <w:sz w:val="22"/>
        </w:rPr>
        <w:t>15. Cognitive interviewing chi tiết (Supplementary)</w:t>
      </w:r>
    </w:p>
    <w:p>
      <w:pPr>
        <w:spacing w:after="80"/>
        <w:ind w:firstLine="283"/>
        <w:jc w:val="both"/>
      </w:pPr>
      <w:r>
        <w:rPr>
          <w:rFonts w:ascii="Times New Roman" w:hAnsi="Times New Roman"/>
          <w:sz w:val="22"/>
        </w:rPr>
        <w:t>16. Grade-stratified sensitivity analysis (Supplementary)</w:t>
      </w:r>
    </w:p>
    <w:p>
      <w:pPr>
        <w:spacing w:before="280" w:after="120"/>
      </w:pPr>
      <w:r>
        <w:rPr>
          <w:rFonts w:ascii="Times New Roman" w:hAnsi="Times New Roman"/>
          <w:b/>
          <w:color w:val="C00000"/>
          <w:sz w:val="26"/>
        </w:rPr>
        <w:t>TÀI LIỆU THAM KHẢO CẦN BỔ SUNG</w:t>
      </w:r>
    </w:p>
    <w:p>
      <w:pPr>
        <w:spacing w:after="80"/>
        <w:ind w:firstLine="283"/>
        <w:jc w:val="both"/>
      </w:pPr>
      <w:r>
        <w:rPr>
          <w:rFonts w:ascii="Times New Roman" w:hAnsi="Times New Roman"/>
          <w:sz w:val="22"/>
        </w:rPr>
        <w:t>Tất cả entries dưới đây nên được verify PMID/DOI trước khi chèn vào ref list của bản thảo. Hiện em đã đề xuất các ref dưới đây như nguồn để cite trong các câu trả lời.</w:t>
      </w:r>
    </w:p>
    <w:p>
      <w:pPr>
        <w:spacing w:after="60"/>
        <w:ind w:left="425" w:hanging="425"/>
      </w:pPr>
      <w:r>
        <w:rPr>
          <w:rFonts w:ascii="Times New Roman" w:hAnsi="Times New Roman"/>
          <w:sz w:val="20"/>
        </w:rPr>
        <w:t>• Wolf EJ, Harrington KM, Clark SL, Miller MW. (2013). Sample size requirements for structural equation models: An evaluation of power, bias, and solution propriety. Educ Psychol Meas. 73(6):913-934. DOI: 10.1177/0013164413495237.</w:t>
      </w:r>
    </w:p>
    <w:p>
      <w:pPr>
        <w:spacing w:after="60"/>
        <w:ind w:left="425" w:hanging="425"/>
      </w:pPr>
      <w:r>
        <w:rPr>
          <w:rFonts w:ascii="Times New Roman" w:hAnsi="Times New Roman"/>
          <w:sz w:val="20"/>
        </w:rPr>
        <w:t>• Hayes AF, Coutts JJ. (2020). Use omega rather than Cronbach's alpha for estimating reliability. But… Commun Methods Meas. 14(1):1-24. DOI: 10.1080/19312458.2020.1718629.</w:t>
      </w:r>
    </w:p>
    <w:p>
      <w:pPr>
        <w:spacing w:after="60"/>
        <w:ind w:left="425" w:hanging="425"/>
      </w:pPr>
      <w:r>
        <w:rPr>
          <w:rFonts w:ascii="Times New Roman" w:hAnsi="Times New Roman"/>
          <w:sz w:val="20"/>
        </w:rPr>
        <w:t>• Little RJA. (1988). A test of missing completely at random for multivariate data with missing values. J Am Stat Assoc. 83(404):1198-1202.</w:t>
      </w:r>
    </w:p>
    <w:p>
      <w:pPr>
        <w:spacing w:after="60"/>
        <w:ind w:left="425" w:hanging="425"/>
      </w:pPr>
      <w:r>
        <w:rPr>
          <w:rFonts w:ascii="Times New Roman" w:hAnsi="Times New Roman"/>
          <w:sz w:val="20"/>
        </w:rPr>
        <w:t>• Benjamini Y, Hochberg Y. (1995). Controlling the false discovery rate: a practical and powerful approach to multiple testing. J R Stat Soc Ser B. 57(1):289-300.</w:t>
      </w:r>
    </w:p>
    <w:p>
      <w:pPr>
        <w:spacing w:after="60"/>
        <w:ind w:left="425" w:hanging="425"/>
      </w:pPr>
      <w:r>
        <w:rPr>
          <w:rFonts w:ascii="Times New Roman" w:hAnsi="Times New Roman"/>
          <w:sz w:val="20"/>
        </w:rPr>
        <w:t>• Beesdo K, Knappe S, Pine DS. (2009). Anxiety and anxiety disorders in children and adolescents: developmental issues and implications for DSM-V. Psychiatr Clin North Am. 32(3):483-524. PMID: 19716988.</w:t>
      </w:r>
    </w:p>
    <w:p>
      <w:pPr>
        <w:spacing w:after="60"/>
        <w:ind w:left="425" w:hanging="425"/>
      </w:pPr>
      <w:r>
        <w:rPr>
          <w:rFonts w:ascii="Times New Roman" w:hAnsi="Times New Roman"/>
          <w:sz w:val="20"/>
        </w:rPr>
        <w:t>• Brislin RW. (1970). Back-translation for cross-cultural research. J Cross-Cult Psychol. 1(3):185-216.</w:t>
      </w:r>
    </w:p>
    <w:p>
      <w:pPr>
        <w:spacing w:after="60"/>
        <w:ind w:left="425" w:hanging="425"/>
      </w:pPr>
      <w:r>
        <w:rPr>
          <w:rFonts w:ascii="Times New Roman" w:hAnsi="Times New Roman"/>
          <w:sz w:val="20"/>
        </w:rPr>
        <w:t>• Petersen AC, Crockett L, Richards M, Boxer A. (1988). A self-report measure of pubertal status: reliability, validity, and initial norms. J Youth Adolesc. 17(2):117-133. PMID: 24277579.</w:t>
      </w:r>
    </w:p>
    <w:p>
      <w:pPr>
        <w:spacing w:after="60"/>
        <w:ind w:left="425" w:hanging="425"/>
      </w:pPr>
      <w:r>
        <w:rPr>
          <w:rFonts w:ascii="Times New Roman" w:hAnsi="Times New Roman"/>
          <w:sz w:val="20"/>
        </w:rPr>
        <w:t>• Committee on Publication Ethics (COPE). (2018). Text recycling guidelines for editors. https://publicationethics.org/text-recycling-guidelines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