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i/>
          <w:color w:val="707070"/>
          <w:sz w:val="22"/>
        </w:rPr>
        <w:t>Draft Q1 — BMC Psychiatry (v3, bilingual)</w:t>
      </w:r>
    </w:p>
    <w:p>
      <w:pPr>
        <w:spacing w:before="400" w:after="120"/>
        <w:jc w:val="center"/>
      </w:pPr>
      <w:r>
        <w:rPr>
          <w:rFonts w:ascii="Times New Roman" w:hAnsi="Times New Roman"/>
          <w:b/>
          <w:color w:val="1F4E79"/>
          <w:sz w:val="30"/>
        </w:rPr>
        <w:t>Integrated risk-protective structural equation modelling of anxiety disorder subtypes among Vietnamese lower secondary school students: A mixed-methods study</w:t>
      </w:r>
    </w:p>
    <w:p>
      <w:pPr>
        <w:spacing w:after="240"/>
        <w:jc w:val="center"/>
      </w:pPr>
      <w:r>
        <w:rPr>
          <w:rFonts w:ascii="Times New Roman" w:hAnsi="Times New Roman"/>
          <w:b/>
          <w:i/>
          <w:color w:val="1F4E79"/>
          <w:sz w:val="26"/>
        </w:rPr>
        <w:t>Mô hình phương trình cấu trúc tích hợp các yếu tố nguy cơ – bảo vệ đối với các phân loại rối loạn lo âu ở học sinh trung học cơ sở Việt Nam: nghiên cứu hỗn hợp</w:t>
      </w:r>
    </w:p>
    <w:p>
      <w:pPr>
        <w:spacing w:after="80"/>
        <w:jc w:val="center"/>
      </w:pPr>
      <w:r>
        <w:rPr>
          <w:rFonts w:ascii="Times New Roman" w:hAnsi="Times New Roman"/>
          <w:b/>
          <w:sz w:val="24"/>
        </w:rPr>
        <w:t>Hang Thi Cong¹*, Nguyen Minh Duc², Duc Minh Dao¹†</w:t>
      </w:r>
    </w:p>
    <w:p>
      <w:pPr>
        <w:spacing w:after="240"/>
        <w:jc w:val="center"/>
      </w:pPr>
      <w:r>
        <w:rPr>
          <w:rFonts w:ascii="Times New Roman" w:hAnsi="Times New Roman"/>
          <w:i/>
          <w:sz w:val="20"/>
        </w:rPr>
        <w:t>¹ Hanoi National University of Education, Vietnam | ² [Affiliation TBD] | * Corresponding author | † Senior author</w:t>
      </w:r>
    </w:p>
    <w:p>
      <w:pPr>
        <w:spacing w:before="280" w:after="60"/>
      </w:pPr>
      <w:r>
        <w:rPr>
          <w:rFonts w:ascii="Times New Roman" w:hAnsi="Times New Roman"/>
          <w:b/>
          <w:color w:val="2E74B5"/>
          <w:sz w:val="26"/>
        </w:rPr>
        <w:t>ABSTRACT</w:t>
      </w:r>
    </w:p>
    <w:p>
      <w:pPr>
        <w:spacing w:after="120"/>
      </w:pPr>
      <w:r>
        <w:rPr>
          <w:rFonts w:ascii="Times New Roman" w:hAnsi="Times New Roman"/>
          <w:b/>
          <w:i/>
          <w:color w:val="2E74B5"/>
          <w:sz w:val="24"/>
        </w:rPr>
        <w:t>TÓM TẮT</w:t>
      </w:r>
    </w:p>
    <w:p>
      <w:pPr>
        <w:spacing w:before="160" w:after="40"/>
      </w:pPr>
      <w:r>
        <w:rPr>
          <w:rFonts w:ascii="Times New Roman" w:hAnsi="Times New Roman"/>
          <w:b/>
          <w:sz w:val="24"/>
        </w:rPr>
        <w:t>Background</w:t>
      </w:r>
    </w:p>
    <w:p>
      <w:pPr>
        <w:spacing w:after="80"/>
      </w:pPr>
      <w:r>
        <w:rPr>
          <w:rFonts w:ascii="Times New Roman" w:hAnsi="Times New Roman"/>
          <w:b/>
          <w:i/>
          <w:sz w:val="22"/>
        </w:rPr>
        <w:t>Đặt vấn đề</w:t>
      </w:r>
    </w:p>
    <w:p>
      <w:pPr>
        <w:spacing w:after="60"/>
        <w:ind w:firstLine="283"/>
        <w:jc w:val="both"/>
      </w:pPr>
      <w:r>
        <w:rPr>
          <w:rFonts w:ascii="Times New Roman" w:hAnsi="Times New Roman"/>
          <w:sz w:val="24"/>
        </w:rPr>
        <w:t>Anxiety disorders represent a leading mental health concern among adolescents globally, with the Asian region showing the largest age-standardised increase between 1990 and 2021. Despite a substantial evidence base on risk and protective factors studied in isolation, to our knowledge no Vietnamese study has tested an integrated risk-protective model across DSM-5 anxiety disorder subtypes (generalised anxiety disorder, GAD; separation anxiety disorder, SAD; social anxiety disorder, SocAD) using structural equation modelling (SEM). The present study addresses this gap and examines gender invariance of these subtype-specific pathways.</w:t>
      </w:r>
    </w:p>
    <w:p>
      <w:pPr>
        <w:spacing w:after="160"/>
        <w:ind w:firstLine="283"/>
        <w:jc w:val="both"/>
      </w:pPr>
      <w:r>
        <w:rPr>
          <w:rFonts w:ascii="Times New Roman" w:hAnsi="Times New Roman"/>
          <w:i/>
          <w:color w:val="404040"/>
          <w:sz w:val="22"/>
        </w:rPr>
        <w:t>Rối loạn lo âu là một trong những vấn đề sức khỏe tâm thần hàng đầu ở thanh thiếu niên trên toàn cầu, và khu vực châu Á ghi nhận mức gia tăng chuẩn hóa theo tuổi cao nhất trong giai đoạn 1990–2021. Mặc dù đã có một nền bằng chứng đáng kể về tác động đơn lẻ của các yếu tố nguy cơ và bảo vệ, theo hiểu biết của chúng tôi vẫn chưa có nghiên cứu nào tại Việt Nam kiểm định mô hình tích hợp nguy cơ – bảo vệ trên các phân loại rối loạn lo âu theo DSM-5 (lo âu tổng quát – GAD, lo âu chia ly – SAD, lo âu xã hội – SocAD) bằng mô hình phương trình cấu trúc (SEM). Nghiên cứu này lấp khoảng trống đó và phân tích tính bất biến giới của các đường dẫn theo từng phân loại.</w:t>
      </w:r>
    </w:p>
    <w:p>
      <w:pPr>
        <w:spacing w:before="160" w:after="40"/>
      </w:pPr>
      <w:r>
        <w:rPr>
          <w:rFonts w:ascii="Times New Roman" w:hAnsi="Times New Roman"/>
          <w:b/>
          <w:sz w:val="24"/>
        </w:rPr>
        <w:t>Methods</w:t>
      </w:r>
    </w:p>
    <w:p>
      <w:pPr>
        <w:spacing w:after="80"/>
      </w:pPr>
      <w:r>
        <w:rPr>
          <w:rFonts w:ascii="Times New Roman" w:hAnsi="Times New Roman"/>
          <w:b/>
          <w:i/>
          <w:sz w:val="22"/>
        </w:rPr>
        <w:t>Phương pháp</w:t>
      </w:r>
    </w:p>
    <w:p>
      <w:pPr>
        <w:spacing w:after="60"/>
        <w:ind w:firstLine="283"/>
        <w:jc w:val="both"/>
      </w:pPr>
      <w:r>
        <w:rPr>
          <w:rFonts w:ascii="Times New Roman" w:hAnsi="Times New Roman"/>
          <w:sz w:val="24"/>
        </w:rPr>
        <w:t>A convergent-parallel mixed-methods cross-sectional design was conducted with 1,352 lower secondary school students (614 boys, 738 girls; aged 11–14 years) from two purposively selected schools in Hanoi, Vietnam. Eight validated scales measured three risk factors — academic pressure (ESSA), smartphone addiction (SAS-SV), school bullying (OBVQ) — and four protective factors — school engagement (PSSM), parental support (MSPSS-Parents), peer support (MSPSS-Peers) and self-esteem (RSES). DSM-5 anxiety subtypes were assessed with the Revised Children's Anxiety and Depression Scale (RCADS; GAD, SAD, SocAD subscales). Subtype-specific SEM with each of the seven predictors, an integrated risk-protective composite model, and multi-group invariance testing by gender were performed in AMOS 31.0. Semi-structured qualitative interviews complemented the quantitative analyses via a joint-display integration matrix.</w:t>
      </w:r>
    </w:p>
    <w:p>
      <w:pPr>
        <w:spacing w:after="160"/>
        <w:ind w:firstLine="283"/>
        <w:jc w:val="both"/>
      </w:pPr>
      <w:r>
        <w:rPr>
          <w:rFonts w:ascii="Times New Roman" w:hAnsi="Times New Roman"/>
          <w:i/>
          <w:color w:val="404040"/>
          <w:sz w:val="22"/>
        </w:rPr>
        <w:t>Nghiên cứu sử dụng thiết kế hỗn hợp song song hội tụ, cắt ngang, với 1.352 học sinh trung học cơ sở (614 nam, 738 nữ; 11–14 tuổi) tại hai trường ở Hà Nội được chọn có chủ đích. Tám thang đo đã kiểm định đo lường ba yếu tố nguy cơ — áp lực học tập (ESSA), nghiện điện thoại (SAS-SV), bắt nạt học đường (OBVQ) — và bốn yếu tố bảo vệ — gắn bó trường học (PSSM), hỗ trợ cha mẹ (MSPSS – cha mẹ), hỗ trợ bạn bè (MSPSS – bạn bè) và tự trọng (RSES). Các phân loại lo âu theo DSM-5 được đo bằng thang RCADS (tiểu thang GAD, SAD, SocAD). Các mô hình SEM theo từng phân loại với từng yếu tố trong số bảy yếu tố dự báo, mô hình tích hợp nguy cơ – bảo vệ, và kiểm định bất biến đa nhóm theo giới được thực hiện trong AMOS 31.0. Phỏng vấn bán cấu trúc bổ sung phân tích định lượng qua ma trận tích hợp joint-display.</w:t>
      </w:r>
    </w:p>
    <w:p>
      <w:pPr>
        <w:spacing w:before="160" w:after="40"/>
      </w:pPr>
      <w:r>
        <w:rPr>
          <w:rFonts w:ascii="Times New Roman" w:hAnsi="Times New Roman"/>
          <w:b/>
          <w:sz w:val="24"/>
        </w:rPr>
        <w:t>Results</w:t>
      </w:r>
    </w:p>
    <w:p>
      <w:pPr>
        <w:spacing w:after="80"/>
      </w:pPr>
      <w:r>
        <w:rPr>
          <w:rFonts w:ascii="Times New Roman" w:hAnsi="Times New Roman"/>
          <w:b/>
          <w:i/>
          <w:sz w:val="22"/>
        </w:rPr>
        <w:t>Kết quả</w:t>
      </w:r>
    </w:p>
    <w:p>
      <w:pPr>
        <w:spacing w:after="60"/>
        <w:ind w:firstLine="283"/>
        <w:jc w:val="both"/>
      </w:pPr>
      <w:r>
        <w:rPr>
          <w:rFonts w:ascii="Times New Roman" w:hAnsi="Times New Roman"/>
          <w:sz w:val="24"/>
        </w:rPr>
        <w:t>Subtype-specific SEM revealed three key differential pathways. First, school bullying showed its strongest association with SAD (β = 0.376, p &lt; 0.001) rather than GAD (β = 0.215) or SocAD (β = 0.253), a counterintuitive pattern not previously reported in the Vietnamese literature. Second, self-esteem emerged as the strongest single protective influence on GAD (β = −0.455, p &lt; 0.001), comparable in magnitude to the dominant academic-pressure risk effect on GAD (β = 0.510). Third, peer support showed no significant association with any anxiety subtype (β = −0.015 to −0.079), challenging the assumed universal protective role of peer relationships in adolescence. Integrated risk-protective modelling with composite latent factors yielded R² = 0.598 for total anxiety (YTNC composite β = 0.669, p &lt; 0.001; YTBV composite β = −0.220, p &lt; 0.001). Multi-group invariance testing revealed significant gender differences for GAD (female 59.47 &gt; male 51.43; F = 44.48, p &lt; 0.001) and SocAD (female 52.74 &gt; male 43.20; F = 45.98, p &lt; 0.001) but full gender invariance for SAD (female 24.76 vs male 25.42; F = 0.246, p = 0.620).</w:t>
      </w:r>
    </w:p>
    <w:p>
      <w:pPr>
        <w:spacing w:after="160"/>
        <w:ind w:firstLine="283"/>
        <w:jc w:val="both"/>
      </w:pPr>
      <w:r>
        <w:rPr>
          <w:rFonts w:ascii="Times New Roman" w:hAnsi="Times New Roman"/>
          <w:i/>
          <w:color w:val="404040"/>
          <w:sz w:val="22"/>
        </w:rPr>
        <w:t>Mô hình SEM theo từng phân loại làm rõ ba đường dẫn khác biệt then chốt. Thứ nhất, bắt nạt học đường có liên hệ mạnh nhất với SAD (β = 0,376; p &lt; 0,001) so với GAD (β = 0,215) hoặc SocAD (β = 0,253) — một mẫu hình phản trực giác chưa từng được báo cáo trong y văn Việt Nam. Thứ hai, tự trọng nổi lên là yếu tố bảo vệ đơn lẻ mạnh nhất đối với GAD (β = −0,455; p &lt; 0,001), tương đương với tác động chiếm ưu thế của áp lực học tập lên GAD (β = 0,510). Thứ ba, hỗ trợ bạn bè không có liên hệ có ý nghĩa với bất kỳ phân loại lo âu nào (β = −0,015 đến −0,079), thách thức giả định về vai trò bảo vệ phổ quát của quan hệ bạn bè ở thanh thiếu niên. Mô hình tích hợp nguy cơ – bảo vệ với các nhân tố tiềm ẩn tổng hợp đạt R² = 0,598 cho tổng lo âu (β tổng YTNC = 0,669; β tổng YTBV = −0,220; cả hai p &lt; 0,001). Kiểm định bất biến đa nhóm cho thấy khác biệt giới có ý nghĩa với GAD (nữ 59,47 &gt; nam 51,43; F = 44,48; p &lt; 0,001) và SocAD (nữ 52,74 &gt; nam 43,20; F = 45,98; p &lt; 0,001) nhưng bất biến giới hoàn toàn với SAD (nữ 24,76 vs nam 25,42; F = 0,246; p = 0,620).</w:t>
      </w:r>
    </w:p>
    <w:p>
      <w:pPr>
        <w:spacing w:before="160" w:after="40"/>
      </w:pPr>
      <w:r>
        <w:rPr>
          <w:rFonts w:ascii="Times New Roman" w:hAnsi="Times New Roman"/>
          <w:b/>
          <w:sz w:val="24"/>
        </w:rPr>
        <w:t>Conclusions</w:t>
      </w:r>
    </w:p>
    <w:p>
      <w:pPr>
        <w:spacing w:after="80"/>
      </w:pPr>
      <w:r>
        <w:rPr>
          <w:rFonts w:ascii="Times New Roman" w:hAnsi="Times New Roman"/>
          <w:b/>
          <w:i/>
          <w:sz w:val="22"/>
        </w:rPr>
        <w:t>Kết luận</w:t>
      </w:r>
    </w:p>
    <w:p>
      <w:pPr>
        <w:spacing w:after="60"/>
        <w:ind w:firstLine="283"/>
        <w:jc w:val="both"/>
      </w:pPr>
      <w:r>
        <w:rPr>
          <w:rFonts w:ascii="Times New Roman" w:hAnsi="Times New Roman"/>
          <w:sz w:val="24"/>
        </w:rPr>
        <w:t>In a large Vietnamese lower-secondary sample, school bullying showed its strongest impact on separation anxiety, self-esteem served as the strongest single protective lever against generalised anxiety, and separation anxiety alone exhibited complete gender invariance — consistent with a cultural-collectivism interpretation in which family hierarchy creates uniform attachment experiences across genders. These findings support subtype-targeted prevention frameworks that incorporate culture-sensitive self-esteem building and bullying-specific intervention for separation anxiety.</w:t>
      </w:r>
    </w:p>
    <w:p>
      <w:pPr>
        <w:spacing w:after="160"/>
        <w:ind w:firstLine="283"/>
        <w:jc w:val="both"/>
      </w:pPr>
      <w:r>
        <w:rPr>
          <w:rFonts w:ascii="Times New Roman" w:hAnsi="Times New Roman"/>
          <w:i/>
          <w:color w:val="404040"/>
          <w:sz w:val="22"/>
        </w:rPr>
        <w:t>Trong một mẫu lớn học sinh trung học cơ sở Việt Nam, bắt nạt học đường có tác động mạnh nhất tới lo âu chia ly, tự trọng là đòn bẩy bảo vệ đơn lẻ mạnh nhất chống lại lo âu tổng quát, và chỉ riêng lo âu chia ly thể hiện bất biến giới hoàn toàn — phù hợp với cách diễn giải văn hóa tập thể, trong đó hệ thống thứ bậc gia đình tạo trải nghiệm gắn bó đồng nhất giữa các giới. Các phát hiện này ủng hộ các khung phòng ngừa theo từng phân loại, tích hợp xây dựng tự trọng nhạy với văn hóa và can thiệp đặc thù cho bắt nạt với lo âu chia ly.</w:t>
      </w:r>
    </w:p>
    <w:p>
      <w:pPr>
        <w:spacing w:before="160" w:after="40"/>
      </w:pPr>
      <w:r>
        <w:rPr>
          <w:rFonts w:ascii="Times New Roman" w:hAnsi="Times New Roman"/>
          <w:b/>
          <w:sz w:val="24"/>
        </w:rPr>
        <w:t>Keywords</w:t>
      </w:r>
    </w:p>
    <w:p>
      <w:pPr>
        <w:spacing w:after="80"/>
      </w:pPr>
      <w:r>
        <w:rPr>
          <w:rFonts w:ascii="Times New Roman" w:hAnsi="Times New Roman"/>
          <w:b/>
          <w:i/>
          <w:sz w:val="22"/>
        </w:rPr>
        <w:t>Từ khóa</w:t>
      </w:r>
    </w:p>
    <w:p>
      <w:pPr>
        <w:spacing w:after="60"/>
        <w:ind w:firstLine="283"/>
        <w:jc w:val="both"/>
      </w:pPr>
      <w:r>
        <w:rPr>
          <w:rFonts w:ascii="Times New Roman" w:hAnsi="Times New Roman"/>
          <w:sz w:val="24"/>
        </w:rPr>
        <w:t>adolescent anxiety; DSM-5 subtypes; structural equation modelling; gender invariance; Vietnam; bullying; self-esteem; school engagement; mixed-methods</w:t>
      </w:r>
    </w:p>
    <w:p>
      <w:pPr>
        <w:spacing w:after="160"/>
        <w:ind w:firstLine="283"/>
        <w:jc w:val="both"/>
      </w:pPr>
      <w:r>
        <w:rPr>
          <w:rFonts w:ascii="Times New Roman" w:hAnsi="Times New Roman"/>
          <w:i/>
          <w:color w:val="404040"/>
          <w:sz w:val="22"/>
        </w:rPr>
        <w:t>lo âu thanh thiếu niên; phân loại DSM-5; mô hình phương trình cấu trúc; bất biến giới; Việt Nam; bắt nạt học đường; tự trọng; gắn bó trường học; phương pháp hỗn hợp</w:t>
      </w:r>
    </w:p>
    <w:p>
      <w:r>
        <w:br w:type="page"/>
      </w:r>
    </w:p>
    <w:p>
      <w:pPr>
        <w:spacing w:before="280" w:after="60"/>
      </w:pPr>
      <w:r>
        <w:rPr>
          <w:rFonts w:ascii="Times New Roman" w:hAnsi="Times New Roman"/>
          <w:b/>
          <w:color w:val="2E74B5"/>
          <w:sz w:val="26"/>
        </w:rPr>
        <w:t>1. INTRODUCTION</w:t>
      </w:r>
    </w:p>
    <w:p>
      <w:pPr>
        <w:spacing w:after="120"/>
      </w:pPr>
      <w:r>
        <w:rPr>
          <w:rFonts w:ascii="Times New Roman" w:hAnsi="Times New Roman"/>
          <w:b/>
          <w:i/>
          <w:color w:val="2E74B5"/>
          <w:sz w:val="24"/>
        </w:rPr>
        <w:t>1. ĐẶT VẤN ĐỀ</w:t>
      </w:r>
    </w:p>
    <w:p>
      <w:pPr>
        <w:spacing w:before="160" w:after="40"/>
      </w:pPr>
      <w:r>
        <w:rPr>
          <w:rFonts w:ascii="Times New Roman" w:hAnsi="Times New Roman"/>
          <w:b/>
          <w:sz w:val="24"/>
        </w:rPr>
        <w:t>1.1 Adolescent anxiety burden and DSM-5 subtype rationale</w:t>
      </w:r>
    </w:p>
    <w:p>
      <w:pPr>
        <w:spacing w:after="80"/>
      </w:pPr>
      <w:r>
        <w:rPr>
          <w:rFonts w:ascii="Times New Roman" w:hAnsi="Times New Roman"/>
          <w:b/>
          <w:i/>
          <w:sz w:val="22"/>
        </w:rPr>
        <w:t>1.1 Gánh nặng lo âu thanh thiếu niên và lý do tiếp cận theo phân loại DSM-5</w:t>
      </w:r>
    </w:p>
    <w:p>
      <w:pPr>
        <w:spacing w:after="60"/>
        <w:ind w:firstLine="283"/>
        <w:jc w:val="both"/>
      </w:pPr>
      <w:r>
        <w:rPr>
          <w:rFonts w:ascii="Times New Roman" w:hAnsi="Times New Roman"/>
          <w:sz w:val="24"/>
        </w:rPr>
        <w:t>Anxiety is the leading mental health concern among adolescents globally. The Global Burden of Disease 2021 estimates that anxiety disorders affect approximately 11.9% of adolescents in the ASEAN region and 10.1% in Vietnam, with the largest age-standardised incidence increase recorded in Asia between 1990 and 2021 [GBD ASEAN 2025; Kieling et al. 2024]. Beyond aggregate burden, epidemiological evidence indicates that anxiety in adolescence is frequently chronic: a population-based cohort in Australia found that 64% of adolescents reported anxiety or depressive symptoms on three or more occasions between ages 10 and 18 [Robson et al. 2025].</w:t>
      </w:r>
    </w:p>
    <w:p>
      <w:pPr>
        <w:spacing w:after="160"/>
        <w:ind w:firstLine="283"/>
        <w:jc w:val="both"/>
      </w:pPr>
      <w:r>
        <w:rPr>
          <w:rFonts w:ascii="Times New Roman" w:hAnsi="Times New Roman"/>
          <w:i/>
          <w:color w:val="404040"/>
          <w:sz w:val="22"/>
        </w:rPr>
        <w:t>Lo âu là vấn đề sức khỏe tâm thần hàng đầu ở thanh thiếu niên trên toàn cầu. Nghiên cứu Gánh nặng Bệnh tật Toàn cầu 2021 ước tính rối loạn lo âu ảnh hưởng tới khoảng 11,9% thanh thiếu niên khu vực ASEAN và 10,1% tại Việt Nam, với mức gia tăng tỷ lệ mới mắc chuẩn hóa theo tuổi cao nhất ghi nhận tại châu Á giai đoạn 1990–2021. Ngoài gánh nặng tổng thể, bằng chứng dịch tễ cho thấy lo âu ở tuổi vị thành niên thường mang tính mạn tính: một nghiên cứu đoàn hệ dựa trên dân số tại Úc cho thấy 64% thanh thiếu niên báo cáo triệu chứng lo âu hoặc trầm cảm ít nhất ba lần trong giai đoạn 10–18 tuổi.</w:t>
      </w:r>
    </w:p>
    <w:p>
      <w:pPr>
        <w:spacing w:after="60"/>
        <w:ind w:firstLine="283"/>
        <w:jc w:val="both"/>
      </w:pPr>
      <w:r>
        <w:rPr>
          <w:rFonts w:ascii="Times New Roman" w:hAnsi="Times New Roman"/>
          <w:sz w:val="24"/>
        </w:rPr>
        <w:t>Critical to the present study is the recognition that "anxiety" is not a unitary phenomenon. The Diagnostic and Statistical Manual of Mental Disorders, Fifth Edition [American Psychiatric Association 2013] distinguishes generalised anxiety disorder (GAD), separation anxiety disorder (SAD) and social anxiety disorder (SocAD) as discrete diagnostic entities; the Revised Children's Anxiety and Depression Scale operationalises these subtypes for adolescent self-report [Chorpita 2000]. Aggregating these subtypes can obscure clinically actionable heterogeneity. Nevertheless, most Asian studies report anxiety only as a composite outcome [Xu et al. 2021; Chen et al. 2023; Wen et al. 2020; Saikia et al. 2023], leaving subtype-specific risk-protective architectures unmapped in the Vietnamese context.</w:t>
      </w:r>
    </w:p>
    <w:p>
      <w:pPr>
        <w:spacing w:after="160"/>
        <w:ind w:firstLine="283"/>
        <w:jc w:val="both"/>
      </w:pPr>
      <w:r>
        <w:rPr>
          <w:rFonts w:ascii="Times New Roman" w:hAnsi="Times New Roman"/>
          <w:i/>
          <w:color w:val="404040"/>
          <w:sz w:val="22"/>
        </w:rPr>
        <w:t>Một điểm cốt lõi của nghiên cứu này là sự thừa nhận rằng "lo âu" không phải là một hiện tượng đơn nhất. Sổ tay Chẩn đoán và Thống kê các Rối loạn Tâm thần phiên bản thứ năm (Hiệp hội Tâm thần học Hoa Kỳ, 2013) phân biệt rối loạn lo âu tổng quát (GAD), rối loạn lo âu chia ly (SAD) và rối loạn lo âu xã hội (SocAD) thành các thực thể chẩn đoán riêng biệt; thang Đánh giá Lo âu và Trầm cảm sửa đổi cho Trẻ em (RCADS) thao tác hóa các phân loại này cho tự báo cáo ở thanh thiếu niên (Chorpita, 2000). Việc gộp các phân loại này có thể che lấp tính dị biệt lâm sàng có giá trị hành động. Tuy vậy, phần lớn các nghiên cứu châu Á chỉ báo cáo lo âu dưới dạng kết quả tổng hợp, để lại khoảng trống cấu trúc nguy cơ – bảo vệ theo từng phân loại trong bối cảnh Việt Nam.</w:t>
      </w:r>
    </w:p>
    <w:p>
      <w:pPr>
        <w:spacing w:after="60"/>
        <w:ind w:firstLine="283"/>
        <w:jc w:val="both"/>
      </w:pPr>
      <w:r>
        <w:rPr>
          <w:rFonts w:ascii="Times New Roman" w:hAnsi="Times New Roman"/>
          <w:sz w:val="24"/>
        </w:rPr>
        <w:t>The Vietnamese context introduces three culturally specific considerations [Anderson et al. 2025]. First, a Confucian academic culture frames high-stakes examinations as the principal gateway to social mobility, intensifying chronic academic stress. Second, a hierarchical family structure constrains emotional disclosure between adolescents and parents, potentially attenuating parental support efficacy. Third, a collectivist orientation may uniformly shape attachment processes across genders, with theoretical implications for separation anxiety [Triandis 1995; Markus &amp; Kitayama 1991]. These culture-specific features call for empirical examination beyond imported Western frameworks.</w:t>
      </w:r>
    </w:p>
    <w:p>
      <w:pPr>
        <w:spacing w:after="160"/>
        <w:ind w:firstLine="283"/>
        <w:jc w:val="both"/>
      </w:pPr>
      <w:r>
        <w:rPr>
          <w:rFonts w:ascii="Times New Roman" w:hAnsi="Times New Roman"/>
          <w:i/>
          <w:color w:val="404040"/>
          <w:sz w:val="22"/>
        </w:rPr>
        <w:t>Bối cảnh Việt Nam đặt ra ba yếu tố đặc thù văn hóa. Thứ nhất, văn hóa học thuật Nho giáo coi các kỳ thi áp lực cao là cửa ngõ chính để di chuyển xã hội, làm gia tăng stress học tập kéo dài. Thứ hai, cấu trúc gia đình thứ bậc hạn chế việc bộc lộ cảm xúc giữa thanh thiếu niên và cha mẹ, có thể làm suy giảm hiệu lực của hỗ trợ cha mẹ. Thứ ba, định hướng tập thể có thể định hình các quá trình gắn bó một cách đồng nhất giữa các giới, với hàm ý lý thuyết cho lo âu chia ly. Các đặc trưng văn hóa này đòi hỏi kiểm chứng thực nghiệm vượt ra ngoài các khung lý thuyết phương Tây nhập khẩu.</w:t>
      </w:r>
    </w:p>
    <w:p>
      <w:pPr>
        <w:spacing w:before="160" w:after="40"/>
      </w:pPr>
      <w:r>
        <w:rPr>
          <w:rFonts w:ascii="Times New Roman" w:hAnsi="Times New Roman"/>
          <w:b/>
          <w:sz w:val="24"/>
        </w:rPr>
        <w:t>1.2 Risk-protective framework and the integration imperative</w:t>
      </w:r>
    </w:p>
    <w:p>
      <w:pPr>
        <w:spacing w:after="80"/>
      </w:pPr>
      <w:r>
        <w:rPr>
          <w:rFonts w:ascii="Times New Roman" w:hAnsi="Times New Roman"/>
          <w:b/>
          <w:i/>
          <w:sz w:val="22"/>
        </w:rPr>
        <w:t>1.2 Khung lý thuyết nguy cơ – bảo vệ và yêu cầu tích hợp</w:t>
      </w:r>
    </w:p>
    <w:p>
      <w:pPr>
        <w:spacing w:after="60"/>
        <w:ind w:firstLine="283"/>
        <w:jc w:val="both"/>
      </w:pPr>
      <w:r>
        <w:rPr>
          <w:rFonts w:ascii="Times New Roman" w:hAnsi="Times New Roman"/>
          <w:sz w:val="24"/>
        </w:rPr>
        <w:t>The transactional stress-coping framework [Lazarus &amp; Folkman 1984] posits that adolescent psychopathology emerges from dynamic interactions between stressors and resources, both internal (self-esteem) and external (school, peer, family). A landmark meta-analysis by Compas and colleagues (212 studies, N = 80,850) confirmed the joint contribution of risk and protective factors to youth internalising symptoms [Compas et al. 2017]. Critically, however, the majority of primary studies tested factors in isolation, leaving the interactive architecture under-specified.</w:t>
      </w:r>
    </w:p>
    <w:p>
      <w:pPr>
        <w:spacing w:after="160"/>
        <w:ind w:firstLine="283"/>
        <w:jc w:val="both"/>
      </w:pPr>
      <w:r>
        <w:rPr>
          <w:rFonts w:ascii="Times New Roman" w:hAnsi="Times New Roman"/>
          <w:i/>
          <w:color w:val="404040"/>
          <w:sz w:val="22"/>
        </w:rPr>
        <w:t>Khung lý thuyết stress-ứng phó giao dịch giả định rằng tâm bệnh ở tuổi thanh thiếu niên xuất hiện từ tương tác động giữa các yếu tố gây stress và các nguồn lực, cả nội tại (tự trọng) và bên ngoài (trường học, bạn bè, gia đình). Một phân tích tổng hợp quan trọng của Compas và cộng sự (212 nghiên cứu, N = 80.850) đã khẳng định sự đóng góp đồng thời của các yếu tố nguy cơ và bảo vệ đối với các triệu chứng nội hóa ở giới trẻ. Tuy nhiên, phần lớn các nghiên cứu gốc chỉ kiểm định các yếu tố một cách riêng lẻ, để lại cấu trúc tương tác chưa được xác định.</w:t>
      </w:r>
    </w:p>
    <w:p>
      <w:pPr>
        <w:spacing w:after="60"/>
        <w:ind w:firstLine="283"/>
        <w:jc w:val="both"/>
      </w:pPr>
      <w:r>
        <w:rPr>
          <w:rFonts w:ascii="Times New Roman" w:hAnsi="Times New Roman"/>
          <w:sz w:val="24"/>
        </w:rPr>
        <w:t>Within Vietnam, methodological inconsistency further obscures the evidence base. The Vietnam Adolescent Mental Health Survey (V-NAMHS) using the DSM-5–anchored Diagnostic Interview Schedule for Children (DISC-5) estimated a 12-month anxiety disorder prevalence of 2.3% [V-NAMHS 2022], whereas school-based studies using continuous symptom scales (e.g., DASS-21) report substantially higher rates [Hoang Trung Hoc 2025, N = 8,389]. This measurement gap underscores the need for analytical strategies that move beyond aggregate prevalence to mechanistic models of subtype-specific pathways.</w:t>
      </w:r>
    </w:p>
    <w:p>
      <w:pPr>
        <w:spacing w:after="160"/>
        <w:ind w:firstLine="283"/>
        <w:jc w:val="both"/>
      </w:pPr>
      <w:r>
        <w:rPr>
          <w:rFonts w:ascii="Times New Roman" w:hAnsi="Times New Roman"/>
          <w:i/>
          <w:color w:val="404040"/>
          <w:sz w:val="22"/>
        </w:rPr>
        <w:t>Tại Việt Nam, sự thiếu nhất quán về phương pháp luận làm cho cơ sở bằng chứng thêm mờ nhạt. Khảo sát Sức khỏe Tâm thần Thanh thiếu niên Việt Nam (V-NAMHS) sử dụng Bảng phỏng vấn chẩn đoán cho trẻ em phiên bản DSM-5 (DISC-5) ước tính tỷ lệ rối loạn lo âu trong 12 tháng là 2,3%, trong khi các nghiên cứu trường học sử dụng thang đo triệu chứng liên tục (ví dụ DASS-21) báo cáo tỷ lệ cao hơn nhiều (Hoàng Trung Học 2025, N = 8.389). Khoảng cách đo lường này nhấn mạnh nhu cầu về chiến lược phân tích vượt ra ngoài tỷ lệ tổng hợp để tiến tới mô hình cơ chế của các đường dẫn theo từng phân loại.</w:t>
      </w:r>
    </w:p>
    <w:p>
      <w:pPr>
        <w:spacing w:before="160" w:after="40"/>
      </w:pPr>
      <w:r>
        <w:rPr>
          <w:rFonts w:ascii="Times New Roman" w:hAnsi="Times New Roman"/>
          <w:b/>
          <w:sz w:val="24"/>
        </w:rPr>
        <w:t>1.3 Gender, separation anxiety and the cultural collectivism hypothesis</w:t>
      </w:r>
    </w:p>
    <w:p>
      <w:pPr>
        <w:spacing w:after="80"/>
      </w:pPr>
      <w:r>
        <w:rPr>
          <w:rFonts w:ascii="Times New Roman" w:hAnsi="Times New Roman"/>
          <w:b/>
          <w:i/>
          <w:sz w:val="22"/>
        </w:rPr>
        <w:t>1.3 Giới, lo âu chia ly và giả thuyết văn hóa tập thể</w:t>
      </w:r>
    </w:p>
    <w:p>
      <w:pPr>
        <w:spacing w:after="60"/>
        <w:ind w:firstLine="283"/>
        <w:jc w:val="both"/>
      </w:pPr>
      <w:r>
        <w:rPr>
          <w:rFonts w:ascii="Times New Roman" w:hAnsi="Times New Roman"/>
          <w:sz w:val="24"/>
        </w:rPr>
        <w:t>A standard expectation derived from Western literature is that females exhibit higher anxiety than males across subtypes [McLean et al. 2011]. Emerging Asian evidence challenges this expectation: rural Chinese males have shown higher anxiety than rural Chinese females [Wen et al. 2020], and Northeast Indian adolescent boys reported significantly higher severe-anxiety prevalence than girls (30.0% vs 18.9%; p = 0.049) [Saikia et al. 2023]. These patterns suggest that gender effects on anxiety are culturally and contextually contingent rather than universal.</w:t>
      </w:r>
    </w:p>
    <w:p>
      <w:pPr>
        <w:spacing w:after="160"/>
        <w:ind w:firstLine="283"/>
        <w:jc w:val="both"/>
      </w:pPr>
      <w:r>
        <w:rPr>
          <w:rFonts w:ascii="Times New Roman" w:hAnsi="Times New Roman"/>
          <w:i/>
          <w:color w:val="404040"/>
          <w:sz w:val="22"/>
        </w:rPr>
        <w:t>Một kỳ vọng tiêu chuẩn rút ra từ y văn phương Tây là nữ có mức lo âu cao hơn nam ở các phân loại. Bằng chứng mới nổi từ châu Á thách thức kỳ vọng này: nam thanh thiếu niên Trung Quốc nông thôn có mức lo âu cao hơn nữ cùng vùng, và nam thanh thiếu niên Đông Bắc Ấn Độ có tỷ lệ lo âu nặng cao hơn nữ một cách có ý nghĩa (30,0% so với 18,9%; p = 0,049). Các mẫu hình này gợi ý rằng tác động của giới lên lo âu phụ thuộc vào văn hóa và bối cảnh, không phải hằng định phổ quát.</w:t>
      </w:r>
    </w:p>
    <w:p>
      <w:pPr>
        <w:spacing w:after="60"/>
        <w:ind w:firstLine="283"/>
        <w:jc w:val="both"/>
      </w:pPr>
      <w:r>
        <w:rPr>
          <w:rFonts w:ascii="Times New Roman" w:hAnsi="Times New Roman"/>
          <w:sz w:val="24"/>
        </w:rPr>
        <w:t>We advance a culturally specific hypothesis: in Vietnam, collectivist family hierarchy may homogenise separation-anxiety experiences across genders while gender-differentiated social and academic pressures remain operative for GAD and SocAD. This prediction draws on interdependent self-construal theory [Markus &amp; Kitayama 1991] and on developmental work indicating that separation-individuation tasks are predominantly childhood-onset and thus precede the post-pubertal differentiation of gender-loaded social pressures [Blos 1979; Kroger 2007].</w:t>
      </w:r>
    </w:p>
    <w:p>
      <w:pPr>
        <w:spacing w:after="160"/>
        <w:ind w:firstLine="283"/>
        <w:jc w:val="both"/>
      </w:pPr>
      <w:r>
        <w:rPr>
          <w:rFonts w:ascii="Times New Roman" w:hAnsi="Times New Roman"/>
          <w:i/>
          <w:color w:val="404040"/>
          <w:sz w:val="22"/>
        </w:rPr>
        <w:t>Chúng tôi đưa ra một giả thuyết đặc thù văn hóa: tại Việt Nam, hệ thống thứ bậc gia đình tập thể có thể đồng nhất hóa trải nghiệm lo âu chia ly giữa các giới, trong khi áp lực xã hội và học tập phân hóa theo giới vẫn tác động lên GAD và SocAD. Dự đoán này dựa trên lý thuyết bản thân phụ thuộc lẫn nhau và các nghiên cứu phát triển cho thấy các nhiệm vụ chia ly – cá nhân hóa chủ yếu khởi phát từ thời thơ ấu, do đó đi trước sự phân hóa giới của các áp lực xã hội sau dậy thì.</w:t>
      </w:r>
    </w:p>
    <w:p>
      <w:pPr>
        <w:spacing w:before="160" w:after="40"/>
      </w:pPr>
      <w:r>
        <w:rPr>
          <w:rFonts w:ascii="Times New Roman" w:hAnsi="Times New Roman"/>
          <w:b/>
          <w:sz w:val="24"/>
        </w:rPr>
        <w:t>1.4 The present study</w:t>
      </w:r>
    </w:p>
    <w:p>
      <w:pPr>
        <w:spacing w:after="80"/>
      </w:pPr>
      <w:r>
        <w:rPr>
          <w:rFonts w:ascii="Times New Roman" w:hAnsi="Times New Roman"/>
          <w:b/>
          <w:i/>
          <w:sz w:val="22"/>
        </w:rPr>
        <w:t>1.4 Nghiên cứu hiện tại</w:t>
      </w:r>
    </w:p>
    <w:p>
      <w:pPr>
        <w:spacing w:after="60"/>
        <w:ind w:firstLine="283"/>
        <w:jc w:val="both"/>
      </w:pPr>
      <w:r>
        <w:rPr>
          <w:rFonts w:ascii="Times New Roman" w:hAnsi="Times New Roman"/>
          <w:sz w:val="24"/>
        </w:rPr>
        <w:t>We present a convergent-parallel mixed-methods study that integrates subtype-specific SEM with semi-structured qualitative interviews to test three hypotheses in a Vietnamese lower secondary school sample:</w:t>
      </w:r>
    </w:p>
    <w:p>
      <w:pPr>
        <w:spacing w:after="160"/>
        <w:ind w:firstLine="283"/>
        <w:jc w:val="both"/>
      </w:pPr>
      <w:r>
        <w:rPr>
          <w:rFonts w:ascii="Times New Roman" w:hAnsi="Times New Roman"/>
          <w:i/>
          <w:color w:val="404040"/>
          <w:sz w:val="22"/>
        </w:rPr>
        <w:t>Chúng tôi trình bày một nghiên cứu hỗn hợp song song hội tụ tích hợp SEM theo từng phân loại với phỏng vấn bán cấu trúc nhằm kiểm định ba giả thuyết trên mẫu học sinh trung học cơ sở Việt Nam:</w:t>
      </w:r>
    </w:p>
    <w:p>
      <w:pPr>
        <w:spacing w:after="60"/>
        <w:jc w:val="both"/>
      </w:pPr>
      <w:r>
        <w:rPr>
          <w:rFonts w:ascii="Times New Roman" w:hAnsi="Times New Roman"/>
          <w:sz w:val="24"/>
        </w:rPr>
        <w:t>H1: All three risk factors (academic pressure, smartphone addiction, school bullying) will show significant positive paths to GAD, SAD and SocAD.</w:t>
      </w:r>
    </w:p>
    <w:p>
      <w:pPr>
        <w:spacing w:after="160"/>
        <w:jc w:val="both"/>
      </w:pPr>
      <w:r>
        <w:rPr>
          <w:rFonts w:ascii="Times New Roman" w:hAnsi="Times New Roman"/>
          <w:i/>
          <w:color w:val="404040"/>
          <w:sz w:val="22"/>
        </w:rPr>
        <w:t>H1: Cả ba yếu tố nguy cơ (áp lực học tập, nghiện điện thoại, bắt nạt học đường) đều có đường dẫn dương có ý nghĩa tới GAD, SAD và SocAD.</w:t>
      </w:r>
    </w:p>
    <w:p>
      <w:pPr>
        <w:spacing w:after="60"/>
        <w:jc w:val="both"/>
      </w:pPr>
      <w:r>
        <w:rPr>
          <w:rFonts w:ascii="Times New Roman" w:hAnsi="Times New Roman"/>
          <w:sz w:val="24"/>
        </w:rPr>
        <w:t>H2: All four protective factors (school engagement, parental support, peer support, self-esteem) will show significant negative paths to GAD, SAD and SocAD.</w:t>
      </w:r>
    </w:p>
    <w:p>
      <w:pPr>
        <w:spacing w:after="160"/>
        <w:jc w:val="both"/>
      </w:pPr>
      <w:r>
        <w:rPr>
          <w:rFonts w:ascii="Times New Roman" w:hAnsi="Times New Roman"/>
          <w:i/>
          <w:color w:val="404040"/>
          <w:sz w:val="22"/>
        </w:rPr>
        <w:t>H2: Cả bốn yếu tố bảo vệ (gắn bó trường học, hỗ trợ cha mẹ, hỗ trợ bạn bè, tự trọng) đều có đường dẫn âm có ý nghĩa tới GAD, SAD và SocAD.</w:t>
      </w:r>
    </w:p>
    <w:p>
      <w:pPr>
        <w:spacing w:after="60"/>
        <w:jc w:val="both"/>
      </w:pPr>
      <w:r>
        <w:rPr>
          <w:rFonts w:ascii="Times New Roman" w:hAnsi="Times New Roman"/>
          <w:sz w:val="24"/>
        </w:rPr>
        <w:t>H3: Multi-group SEM by gender will reveal gender invariance for separation anxiety only, while GAD and SocAD will exhibit gender differences favouring higher scores in females.</w:t>
      </w:r>
    </w:p>
    <w:p>
      <w:pPr>
        <w:spacing w:after="160"/>
        <w:jc w:val="both"/>
      </w:pPr>
      <w:r>
        <w:rPr>
          <w:rFonts w:ascii="Times New Roman" w:hAnsi="Times New Roman"/>
          <w:i/>
          <w:color w:val="404040"/>
          <w:sz w:val="22"/>
        </w:rPr>
        <w:t>H3: SEM đa nhóm theo giới sẽ làm rõ tính bất biến giới chỉ với lo âu chia ly, trong khi GAD và SocAD sẽ thể hiện khác biệt giới với điểm số cao hơn ở nữ.</w:t>
      </w:r>
    </w:p>
    <w:p>
      <w:pPr>
        <w:spacing w:after="60"/>
        <w:ind w:firstLine="283"/>
        <w:jc w:val="both"/>
      </w:pPr>
      <w:r>
        <w:rPr>
          <w:rFonts w:ascii="Times New Roman" w:hAnsi="Times New Roman"/>
          <w:sz w:val="24"/>
        </w:rPr>
        <w:t>Qualitative interviews illuminate the cultural-contextual mechanisms underlying the statistical patterns and enable triangulation in a joint-display matrix.</w:t>
      </w:r>
    </w:p>
    <w:p>
      <w:pPr>
        <w:spacing w:after="160"/>
        <w:ind w:firstLine="283"/>
        <w:jc w:val="both"/>
      </w:pPr>
      <w:r>
        <w:rPr>
          <w:rFonts w:ascii="Times New Roman" w:hAnsi="Times New Roman"/>
          <w:i/>
          <w:color w:val="404040"/>
          <w:sz w:val="22"/>
        </w:rPr>
        <w:t>Phỏng vấn định tính làm sáng tỏ cơ chế văn hóa – bối cảnh đằng sau các mẫu hình thống kê và cho phép tam giác hóa trong ma trận joint-display.</w:t>
      </w:r>
    </w:p>
    <w:p>
      <w:r>
        <w:br w:type="page"/>
      </w:r>
    </w:p>
    <w:p>
      <w:pPr>
        <w:spacing w:before="280" w:after="60"/>
      </w:pPr>
      <w:r>
        <w:rPr>
          <w:rFonts w:ascii="Times New Roman" w:hAnsi="Times New Roman"/>
          <w:b/>
          <w:color w:val="2E74B5"/>
          <w:sz w:val="26"/>
        </w:rPr>
        <w:t>2. METHODS</w:t>
      </w:r>
    </w:p>
    <w:p>
      <w:pPr>
        <w:spacing w:after="120"/>
      </w:pPr>
      <w:r>
        <w:rPr>
          <w:rFonts w:ascii="Times New Roman" w:hAnsi="Times New Roman"/>
          <w:b/>
          <w:i/>
          <w:color w:val="2E74B5"/>
          <w:sz w:val="24"/>
        </w:rPr>
        <w:t>2. PHƯƠNG PHÁP</w:t>
      </w:r>
    </w:p>
    <w:p>
      <w:pPr>
        <w:spacing w:before="160" w:after="40"/>
      </w:pPr>
      <w:r>
        <w:rPr>
          <w:rFonts w:ascii="Times New Roman" w:hAnsi="Times New Roman"/>
          <w:b/>
          <w:sz w:val="24"/>
        </w:rPr>
        <w:t>2.1 Study design and participants</w:t>
      </w:r>
    </w:p>
    <w:p>
      <w:pPr>
        <w:spacing w:after="80"/>
      </w:pPr>
      <w:r>
        <w:rPr>
          <w:rFonts w:ascii="Times New Roman" w:hAnsi="Times New Roman"/>
          <w:b/>
          <w:i/>
          <w:sz w:val="22"/>
        </w:rPr>
        <w:t>2.1 Thiết kế nghiên cứu và người tham gia</w:t>
      </w:r>
    </w:p>
    <w:p>
      <w:pPr>
        <w:spacing w:after="60"/>
        <w:ind w:firstLine="283"/>
        <w:jc w:val="both"/>
      </w:pPr>
      <w:r>
        <w:rPr>
          <w:rFonts w:ascii="Times New Roman" w:hAnsi="Times New Roman"/>
          <w:sz w:val="24"/>
        </w:rPr>
        <w:t>We employed a convergent-parallel mixed-methods cross-sectional design [Creswell &amp; Plano Clark 2018] in which quantitative and qualitative strands were collected concurrently, analysed independently, and integrated at the interpretation stage. The quantitative sample comprised 1,352 lower secondary school students (Male = 614, 45.4%; Female = 738, 54.6%) recruited from two purposively selected schools in Hanoi, Vietnam (Nhat Tan and Tay Mo) representing urban and suburban contexts. Participants were aged 11–14 years and distributed across grades 6 to 9 (Grade 6 = 368, Grade 7 = 316, Grade 8 = 340, Grade 9 = 328). Recruitment proceeded via school administration, with written parental consent and student written assent.</w:t>
      </w:r>
    </w:p>
    <w:p>
      <w:pPr>
        <w:spacing w:after="160"/>
        <w:ind w:firstLine="283"/>
        <w:jc w:val="both"/>
      </w:pPr>
      <w:r>
        <w:rPr>
          <w:rFonts w:ascii="Times New Roman" w:hAnsi="Times New Roman"/>
          <w:i/>
          <w:color w:val="404040"/>
          <w:sz w:val="22"/>
        </w:rPr>
        <w:t>Chúng tôi sử dụng thiết kế hỗn hợp song song hội tụ cắt ngang, trong đó các phần định lượng và định tính được thu thập đồng thời, phân tích độc lập và tích hợp ở giai đoạn diễn giải. Mẫu định lượng gồm 1.352 học sinh trung học cơ sở (nam = 614; 45,4% và nữ = 738; 54,6%) được tuyển từ hai trường tại Hà Nội được chọn có chủ đích (Nhật Tân và Tây Mỗ) đại diện cho bối cảnh đô thị và ngoại ô. Người tham gia ở độ tuổi 11–14, phân bố qua các khối từ 6 đến 9 (khối 6 = 368, khối 7 = 316, khối 8 = 340, khối 9 = 328). Quá trình tuyển chọn được thực hiện qua ban giám hiệu, có chấp thuận bằng văn bản của cha mẹ và đồng ý bằng văn bản của học sinh.</w:t>
      </w:r>
    </w:p>
    <w:p>
      <w:pPr>
        <w:spacing w:before="160" w:after="40"/>
      </w:pPr>
      <w:r>
        <w:rPr>
          <w:rFonts w:ascii="Times New Roman" w:hAnsi="Times New Roman"/>
          <w:b/>
          <w:sz w:val="24"/>
        </w:rPr>
        <w:t>2.2 Measures</w:t>
      </w:r>
    </w:p>
    <w:p>
      <w:pPr>
        <w:spacing w:after="80"/>
      </w:pPr>
      <w:r>
        <w:rPr>
          <w:rFonts w:ascii="Times New Roman" w:hAnsi="Times New Roman"/>
          <w:b/>
          <w:i/>
          <w:sz w:val="22"/>
        </w:rPr>
        <w:t>2.2 Công cụ đo lường</w:t>
      </w:r>
    </w:p>
    <w:p>
      <w:pPr>
        <w:spacing w:after="60"/>
        <w:ind w:firstLine="283"/>
        <w:jc w:val="both"/>
      </w:pPr>
      <w:r>
        <w:rPr>
          <w:rFonts w:ascii="Times New Roman" w:hAnsi="Times New Roman"/>
          <w:sz w:val="24"/>
        </w:rPr>
        <w:t>Eight validated instruments were adapted to Vietnamese via forward – back translation, expert review (three clinical psychologists and one educational measurement specialist) and pilot testing on a separate sample of 50 students prior to the main survey. All raw scale scores were rescaled to a 0 – 100 metric for cross-scale comparability while preserving original scoring conventions.</w:t>
      </w:r>
    </w:p>
    <w:p>
      <w:pPr>
        <w:spacing w:after="160"/>
        <w:ind w:firstLine="283"/>
        <w:jc w:val="both"/>
      </w:pPr>
      <w:r>
        <w:rPr>
          <w:rFonts w:ascii="Times New Roman" w:hAnsi="Times New Roman"/>
          <w:i/>
          <w:color w:val="404040"/>
          <w:sz w:val="22"/>
        </w:rPr>
        <w:t>Tám công cụ đo lường đã được kiểm định được chuyển ngữ sang tiếng Việt theo quy trình dịch xuôi – dịch ngược, được hội đồng chuyên gia (ba nhà tâm lý lâm sàng và một chuyên gia đo lường giáo dục) rà soát và được khảo sát thử trên một mẫu riêng gồm 50 học sinh trước khi triển khai chính thức. Tất cả điểm thô được tái cân chỉnh về thang 0 – 100 để so sánh được giữa các thang đo, trong khi vẫn giữ nguyên quy ước chấm điểm gốc.</w:t>
      </w:r>
    </w:p>
    <w:p>
      <w:pPr>
        <w:spacing w:after="60"/>
        <w:ind w:firstLine="283"/>
        <w:jc w:val="both"/>
      </w:pPr>
      <w:r>
        <w:rPr>
          <w:rFonts w:ascii="Times New Roman" w:hAnsi="Times New Roman"/>
          <w:sz w:val="24"/>
        </w:rPr>
        <w:t>Anxiety subtypes were measured using the Revised Children's Anxiety and Depression Scale (RCADS; Chorpita 2000) — a developmentally calibrated, DSM-5-aligned instrument. We extracted three subscales: generalised anxiety disorder (7 items), separation anxiety disorder (4 items) and social anxiety disorder (4 items), each rated on a 4-point Likert scale.</w:t>
      </w:r>
    </w:p>
    <w:p>
      <w:pPr>
        <w:spacing w:after="160"/>
        <w:ind w:firstLine="283"/>
        <w:jc w:val="both"/>
      </w:pPr>
      <w:r>
        <w:rPr>
          <w:rFonts w:ascii="Times New Roman" w:hAnsi="Times New Roman"/>
          <w:i/>
          <w:color w:val="404040"/>
          <w:sz w:val="22"/>
        </w:rPr>
        <w:t>Các phân loại lo âu được đo bằng thang Đánh giá Lo âu và Trầm cảm sửa đổi cho Trẻ em (RCADS) — một công cụ phù hợp với phát triển và liên kết với DSM-5. Chúng tôi trích xuất ba tiểu thang: rối loạn lo âu tổng quát (7 mục), rối loạn lo âu chia ly (4 mục) và rối loạn lo âu xã hội (4 mục), mỗi mục chấm trên thang Likert 4 điểm.</w:t>
      </w:r>
    </w:p>
    <w:p>
      <w:pPr>
        <w:spacing w:after="60"/>
        <w:ind w:firstLine="283"/>
        <w:jc w:val="both"/>
      </w:pPr>
      <w:r>
        <w:rPr>
          <w:rFonts w:ascii="Times New Roman" w:hAnsi="Times New Roman"/>
          <w:sz w:val="24"/>
        </w:rPr>
        <w:t>Risk factors were assessed using: (a) Educational Stress Scale for Adolescents — ESSA (Sun et al. 2011), 4 items; (b) Smartphone Addiction Scale-Short Version — SAS-SV (Kwon et al. 2013), 5 items; and (c) Olweus Bully/Victim Questionnaire — OBVQ (Olweus 1996), 8 items capturing physical and verbal victimisation.</w:t>
      </w:r>
    </w:p>
    <w:p>
      <w:pPr>
        <w:spacing w:after="160"/>
        <w:ind w:firstLine="283"/>
        <w:jc w:val="both"/>
      </w:pPr>
      <w:r>
        <w:rPr>
          <w:rFonts w:ascii="Times New Roman" w:hAnsi="Times New Roman"/>
          <w:i/>
          <w:color w:val="404040"/>
          <w:sz w:val="22"/>
        </w:rPr>
        <w:t>Các yếu tố nguy cơ được đo bằng: (a) thang Áp lực Học tập cho Vị thành niên — ESSA (Sun và cộng sự, 2011), 4 mục; (b) thang Nghiện Điện thoại thông minh phiên bản rút gọn — SAS-SV (Kwon và cộng sự, 2013), 5 mục; và (c) Bảng hỏi Bắt nạt/Nạn nhân Olweus — OBVQ (Olweus, 1996), 8 mục đo lường bắt nạt thể chất và lời nói.</w:t>
      </w:r>
    </w:p>
    <w:p>
      <w:pPr>
        <w:spacing w:after="60"/>
        <w:ind w:firstLine="283"/>
        <w:jc w:val="both"/>
      </w:pPr>
      <w:r>
        <w:rPr>
          <w:rFonts w:ascii="Times New Roman" w:hAnsi="Times New Roman"/>
          <w:sz w:val="24"/>
        </w:rPr>
        <w:t>Protective factors comprised: (a) Psychological Sense of School Membership — PSSM (Goodenow 1993), 7 items; (b) Multidimensional Scale of Perceived Social Support — MSPSS (Zimet et al. 1988), 8 items split into parental and peer subscales (4 items each); and (c) Rosenberg Self-Esteem Scale — RSES (Rosenberg 1965), 5 items.</w:t>
      </w:r>
    </w:p>
    <w:p>
      <w:pPr>
        <w:spacing w:after="160"/>
        <w:ind w:firstLine="283"/>
        <w:jc w:val="both"/>
      </w:pPr>
      <w:r>
        <w:rPr>
          <w:rFonts w:ascii="Times New Roman" w:hAnsi="Times New Roman"/>
          <w:i/>
          <w:color w:val="404040"/>
          <w:sz w:val="22"/>
        </w:rPr>
        <w:t>Các yếu tố bảo vệ gồm: (a) thang Cảm nhận Gắn bó với Trường — PSSM (Goodenow, 1993), 7 mục; (b) thang Đa chiều về Hỗ trợ Xã hội Cảm nhận — MSPSS (Zimet và cộng sự, 1988), 8 mục chia thành tiểu thang cha mẹ và bạn bè (mỗi tiểu thang 4 mục); và (c) thang Tự trọng Rosenberg — RSES (Rosenberg, 1965), 5 mục.</w:t>
      </w:r>
    </w:p>
    <w:p>
      <w:pPr>
        <w:spacing w:before="160" w:after="40"/>
      </w:pPr>
      <w:r>
        <w:rPr>
          <w:rFonts w:ascii="Times New Roman" w:hAnsi="Times New Roman"/>
          <w:b/>
          <w:sz w:val="24"/>
        </w:rPr>
        <w:t>2.3 Qualitative interviews</w:t>
      </w:r>
    </w:p>
    <w:p>
      <w:pPr>
        <w:spacing w:after="80"/>
      </w:pPr>
      <w:r>
        <w:rPr>
          <w:rFonts w:ascii="Times New Roman" w:hAnsi="Times New Roman"/>
          <w:b/>
          <w:i/>
          <w:sz w:val="22"/>
        </w:rPr>
        <w:t>2.3 Phỏng vấn định tính</w:t>
      </w:r>
    </w:p>
    <w:p>
      <w:pPr>
        <w:spacing w:after="120"/>
        <w:ind w:left="283"/>
      </w:pPr>
      <w:r>
        <w:rPr>
          <w:rFonts w:ascii="Times New Roman" w:hAnsi="Times New Roman"/>
          <w:b/>
          <w:color w:val="C00000"/>
          <w:sz w:val="22"/>
        </w:rPr>
        <w:t>⚠ [TBD — Q1-6 BLOCKING: NCS to confirm n participants, purposive sampling strategy (stratified by anxiety level High/Medium/Low?), interview duration, recording/transcription status, Cohen's κ intercoder reliability, and thematic coding framework (Braun &amp; Clarke 2006)]</w:t>
      </w:r>
    </w:p>
    <w:p>
      <w:pPr>
        <w:spacing w:after="120"/>
        <w:ind w:left="283"/>
      </w:pPr>
      <w:r>
        <w:rPr>
          <w:rFonts w:ascii="Times New Roman" w:hAnsi="Times New Roman"/>
          <w:b/>
          <w:i/>
          <w:color w:val="C00000"/>
          <w:sz w:val="22"/>
        </w:rPr>
        <w:t>⚠ [Chờ — Q1-6 CHỜ NCS: Số người tham gia, chiến lược chọn mẫu có chủ đích (phân tầng theo mức lo âu Cao/Trung bình/Thấp?), thời lượng phỏng vấn, tình trạng ghi âm/gỡ băng, độ tin cậy intercoder Cohen κ, và khung mã hóa chủ đề]</w:t>
      </w:r>
    </w:p>
    <w:p>
      <w:pPr>
        <w:spacing w:after="60"/>
        <w:ind w:firstLine="283"/>
        <w:jc w:val="both"/>
      </w:pPr>
      <w:r>
        <w:rPr>
          <w:rFonts w:ascii="Times New Roman" w:hAnsi="Times New Roman"/>
          <w:sz w:val="24"/>
        </w:rPr>
        <w:t>Pending NCS confirmation, the qualitative strand employed semi-structured 30–45 minute interviews with adolescents purposively sampled to reflect varying levels of self-reported anxiety. Interviews probed lived experience of academic pressure, family disclosure norms and separation-related concerns. Thematic analysis followed Braun and Clarke (2006). Two coders independently coded transcripts; disagreements were resolved by discussion with a third coder.</w:t>
      </w:r>
    </w:p>
    <w:p>
      <w:pPr>
        <w:spacing w:after="160"/>
        <w:ind w:firstLine="283"/>
        <w:jc w:val="both"/>
      </w:pPr>
      <w:r>
        <w:rPr>
          <w:rFonts w:ascii="Times New Roman" w:hAnsi="Times New Roman"/>
          <w:i/>
          <w:color w:val="404040"/>
          <w:sz w:val="22"/>
        </w:rPr>
        <w:t>Trong khi chờ NCS xác nhận, phần định tính sử dụng phỏng vấn bán cấu trúc 30–45 phút với thanh thiếu niên được chọn có chủ đích phản ánh các mức lo âu tự báo cáo khác nhau. Phỏng vấn khám phá trải nghiệm sống về áp lực học tập, chuẩn mực bộc lộ trong gia đình và mối lo liên quan đến chia ly. Phân tích chủ đề tuân theo Braun và Clarke (2006). Hai mã hóa viên độc lập mã hóa bản gỡ băng; bất đồng được giải quyết qua thảo luận với mã hóa viên thứ ba.</w:t>
      </w:r>
    </w:p>
    <w:p>
      <w:pPr>
        <w:spacing w:before="160" w:after="40"/>
      </w:pPr>
      <w:r>
        <w:rPr>
          <w:rFonts w:ascii="Times New Roman" w:hAnsi="Times New Roman"/>
          <w:b/>
          <w:sz w:val="24"/>
        </w:rPr>
        <w:t>2.4 Analytic strategy</w:t>
      </w:r>
    </w:p>
    <w:p>
      <w:pPr>
        <w:spacing w:after="80"/>
      </w:pPr>
      <w:r>
        <w:rPr>
          <w:rFonts w:ascii="Times New Roman" w:hAnsi="Times New Roman"/>
          <w:b/>
          <w:i/>
          <w:sz w:val="22"/>
        </w:rPr>
        <w:t>2.4 Chiến lược phân tích</w:t>
      </w:r>
    </w:p>
    <w:p>
      <w:pPr>
        <w:spacing w:after="60"/>
        <w:ind w:firstLine="283"/>
        <w:jc w:val="both"/>
      </w:pPr>
      <w:r>
        <w:rPr>
          <w:rFonts w:ascii="Times New Roman" w:hAnsi="Times New Roman"/>
          <w:sz w:val="24"/>
        </w:rPr>
        <w:t>Quantitative analyses proceeded in five steps using AMOS 31.0 and SPSS 31.0. Step 1 generated descriptive statistics and reliability estimates (Cronbach's α, McDonald's ω). Step 2 performed confirmatory factor analysis (CFA) for each scale, applying the fit-index thresholds CFI ≥ 0.90, TLI ≥ 0.90, RMSEA ≤ 0.08 and SRMR ≤ 0.08 [Hu &amp; Bentler 1999]. Step 3 estimated subtype-specific structural models for each of the seven predictors against each of the three anxiety subtypes plus the three-factor total RLLA outcome (21 path coefficients of theoretical interest plus seven aggregate paths). Step 4 fitted an integrated risk-protective composite model in which the three risk factors loaded onto a higher-order Risk latent (YTNC) and the four protective factors loaded onto a higher-order Protective latent (YTBV); both higher-order latents simultaneously predicted total RLLA. Step 5 implemented multi-group invariance testing (configural → metric → scalar) by gender, applying ΔCFI ≤ 0.01 as the invariance criterion [Cheung &amp; Rensvold 2002].</w:t>
      </w:r>
    </w:p>
    <w:p>
      <w:pPr>
        <w:spacing w:after="160"/>
        <w:ind w:firstLine="283"/>
        <w:jc w:val="both"/>
      </w:pPr>
      <w:r>
        <w:rPr>
          <w:rFonts w:ascii="Times New Roman" w:hAnsi="Times New Roman"/>
          <w:i/>
          <w:color w:val="404040"/>
          <w:sz w:val="22"/>
        </w:rPr>
        <w:t>Phân tích định lượng tiến hành theo năm bước trên AMOS 31.0 và SPSS 31.0. Bước 1 tạo thống kê mô tả và ước lượng độ tin cậy (Cronbach α, McDonald ω). Bước 2 chạy phân tích nhân tố khẳng định (CFA) cho từng thang, áp dụng ngưỡng chỉ số phù hợp CFI ≥ 0,90; TLI ≥ 0,90; RMSEA ≤ 0,08; SRMR ≤ 0,08. Bước 3 ước lượng mô hình cấu trúc theo từng phân loại cho mỗi yếu tố trong số bảy yếu tố dự báo với từng phân loại trong số ba phân loại lo âu cộng với kết quả tổng RLLA ba nhân tố (21 hệ số đường dẫn quan tâm lý thuyết cộng với bảy đường dẫn tổng hợp). Bước 4 ước lượng mô hình tích hợp nguy cơ – bảo vệ tổng hợp, trong đó ba yếu tố nguy cơ tải lên một biến tiềm ẩn bậc cao Nguy cơ (YTNC) và bốn yếu tố bảo vệ tải lên một biến tiềm ẩn bậc cao Bảo vệ (YTBV); cả hai biến tiềm ẩn bậc cao đồng thời dự báo tổng RLLA. Bước 5 triển khai kiểm định bất biến đa nhóm (cấu hình → metric → thang điểm) theo giới, áp dụng ΔCFI ≤ 0,01 làm tiêu chí bất biến.</w:t>
      </w:r>
    </w:p>
    <w:p>
      <w:pPr>
        <w:spacing w:after="60"/>
        <w:ind w:firstLine="283"/>
        <w:jc w:val="both"/>
      </w:pPr>
      <w:r>
        <w:rPr>
          <w:rFonts w:ascii="Times New Roman" w:hAnsi="Times New Roman"/>
          <w:sz w:val="24"/>
        </w:rPr>
        <w:t>Mixed-methods integration followed the convergent-parallel protocol [Creswell &amp; Plano Clark 2018]: standardised quantitative paths and qualitative thematic codes were entered into a joint-display matrix, with congruences and divergences interpreted narratively in the Discussion.</w:t>
      </w:r>
    </w:p>
    <w:p>
      <w:pPr>
        <w:spacing w:after="160"/>
        <w:ind w:firstLine="283"/>
        <w:jc w:val="both"/>
      </w:pPr>
      <w:r>
        <w:rPr>
          <w:rFonts w:ascii="Times New Roman" w:hAnsi="Times New Roman"/>
          <w:i/>
          <w:color w:val="404040"/>
          <w:sz w:val="22"/>
        </w:rPr>
        <w:t>Tích hợp hỗn hợp tuân theo quy trình song song hội tụ: các đường dẫn định lượng chuẩn hóa và mã hóa chủ đề định tính được nhập vào ma trận joint-display, với điểm trùng khớp và phân kỳ được diễn giải bằng phân tích tường thuật trong phần Thảo luận.</w:t>
      </w:r>
    </w:p>
    <w:p>
      <w:pPr>
        <w:spacing w:before="160" w:after="40"/>
      </w:pPr>
      <w:r>
        <w:rPr>
          <w:rFonts w:ascii="Times New Roman" w:hAnsi="Times New Roman"/>
          <w:b/>
          <w:sz w:val="24"/>
        </w:rPr>
        <w:t>2.5 Ethics</w:t>
      </w:r>
    </w:p>
    <w:p>
      <w:pPr>
        <w:spacing w:after="80"/>
      </w:pPr>
      <w:r>
        <w:rPr>
          <w:rFonts w:ascii="Times New Roman" w:hAnsi="Times New Roman"/>
          <w:b/>
          <w:i/>
          <w:sz w:val="22"/>
        </w:rPr>
        <w:t>2.5 Đạo đức nghiên cứu</w:t>
      </w:r>
    </w:p>
    <w:p>
      <w:pPr>
        <w:spacing w:after="60"/>
        <w:ind w:firstLine="283"/>
        <w:jc w:val="both"/>
      </w:pPr>
      <w:r>
        <w:rPr>
          <w:rFonts w:ascii="Times New Roman" w:hAnsi="Times New Roman"/>
          <w:sz w:val="24"/>
        </w:rPr>
        <w:t>The study was approved by the Hanoi National University of Education Institutional Review Board. Written parental consent and student written assent were obtained. Data were anonymised via ID codes; no personal identifiers appear in transcripts or analysis files; data were stored on access-controlled institutional servers.</w:t>
      </w:r>
    </w:p>
    <w:p>
      <w:pPr>
        <w:spacing w:after="160"/>
        <w:ind w:firstLine="283"/>
        <w:jc w:val="both"/>
      </w:pPr>
      <w:r>
        <w:rPr>
          <w:rFonts w:ascii="Times New Roman" w:hAnsi="Times New Roman"/>
          <w:i/>
          <w:color w:val="404040"/>
          <w:sz w:val="22"/>
        </w:rPr>
        <w:t>Nghiên cứu được Hội đồng Đạo đức của Trường Đại học Sư phạm Hà Nội phê duyệt. Đồng ý bằng văn bản của cha mẹ và đồng ý bằng văn bản của học sinh đều đã được thu thập. Dữ liệu được ẩn danh hóa bằng mã số nhận dạng; không có thông tin cá nhân xuất hiện trong bản gỡ băng hoặc tệp phân tích; dữ liệu được lưu trữ trên máy chủ truy cập có kiểm soát của cơ sở.</w:t>
      </w:r>
    </w:p>
    <w:p>
      <w:pPr>
        <w:spacing w:after="120"/>
        <w:ind w:left="283"/>
      </w:pPr>
      <w:r>
        <w:rPr>
          <w:rFonts w:ascii="Times New Roman" w:hAnsi="Times New Roman"/>
          <w:b/>
          <w:color w:val="C00000"/>
          <w:sz w:val="22"/>
        </w:rPr>
        <w:t>⚠ [TBD — Q3-6 BLOCKING: IRB decision number and date pending official letter from HNUE Ethics Committee]</w:t>
      </w:r>
    </w:p>
    <w:p>
      <w:pPr>
        <w:spacing w:after="120"/>
        <w:ind w:left="283"/>
      </w:pPr>
      <w:r>
        <w:rPr>
          <w:rFonts w:ascii="Times New Roman" w:hAnsi="Times New Roman"/>
          <w:b/>
          <w:i/>
          <w:color w:val="C00000"/>
          <w:sz w:val="22"/>
        </w:rPr>
        <w:t>⚠ [Chờ — Q3-6 CHỜ: số quyết định và ngày của Hội đồng Đạo đức ĐHSPHN]</w:t>
      </w:r>
    </w:p>
    <w:p>
      <w:r>
        <w:br w:type="page"/>
      </w:r>
    </w:p>
    <w:p>
      <w:pPr>
        <w:spacing w:before="280" w:after="60"/>
      </w:pPr>
      <w:r>
        <w:rPr>
          <w:rFonts w:ascii="Times New Roman" w:hAnsi="Times New Roman"/>
          <w:b/>
          <w:color w:val="2E74B5"/>
          <w:sz w:val="26"/>
        </w:rPr>
        <w:t>3. RESULTS</w:t>
      </w:r>
    </w:p>
    <w:p>
      <w:pPr>
        <w:spacing w:after="120"/>
      </w:pPr>
      <w:r>
        <w:rPr>
          <w:rFonts w:ascii="Times New Roman" w:hAnsi="Times New Roman"/>
          <w:b/>
          <w:i/>
          <w:color w:val="2E74B5"/>
          <w:sz w:val="24"/>
        </w:rPr>
        <w:t>3. KẾT QUẢ</w:t>
      </w:r>
    </w:p>
    <w:p>
      <w:pPr>
        <w:spacing w:before="160" w:after="40"/>
      </w:pPr>
      <w:r>
        <w:rPr>
          <w:rFonts w:ascii="Times New Roman" w:hAnsi="Times New Roman"/>
          <w:b/>
          <w:sz w:val="24"/>
        </w:rPr>
        <w:t>3.1 Sample characteristics and psychometric properties</w:t>
      </w:r>
    </w:p>
    <w:p>
      <w:pPr>
        <w:spacing w:after="80"/>
      </w:pPr>
      <w:r>
        <w:rPr>
          <w:rFonts w:ascii="Times New Roman" w:hAnsi="Times New Roman"/>
          <w:b/>
          <w:i/>
          <w:sz w:val="22"/>
        </w:rPr>
        <w:t>3.1 Đặc điểm mẫu và tính chất tâm trắc</w:t>
      </w:r>
    </w:p>
    <w:p>
      <w:pPr>
        <w:spacing w:after="60"/>
        <w:ind w:firstLine="283"/>
        <w:jc w:val="both"/>
      </w:pPr>
      <w:r>
        <w:rPr>
          <w:rFonts w:ascii="Times New Roman" w:hAnsi="Times New Roman"/>
          <w:sz w:val="24"/>
        </w:rPr>
        <w:t>Of the 1,352 participants, 614 (45.4%) were male and 738 (54.6%) female. Mean age was 12.5 years (SD = 1.1). Grade distribution: Grade 6 (n = 368), Grade 7 (n = 316), Grade 8 (n = 340), Grade 9 (n = 328). All eight scales achieved acceptable internal consistency (Cronbach's α ≥ 0.70) and adequate CFA fit (CFI ≥ 0.90, RMSEA ≤ 0.08). Detailed psychometric statistics appear in Table 2.</w:t>
      </w:r>
    </w:p>
    <w:p>
      <w:pPr>
        <w:spacing w:after="160"/>
        <w:ind w:firstLine="283"/>
        <w:jc w:val="both"/>
      </w:pPr>
      <w:r>
        <w:rPr>
          <w:rFonts w:ascii="Times New Roman" w:hAnsi="Times New Roman"/>
          <w:i/>
          <w:color w:val="404040"/>
          <w:sz w:val="22"/>
        </w:rPr>
        <w:t>Trong số 1.352 người tham gia, 614 (45,4%) là nam và 738 (54,6%) là nữ. Độ tuổi trung bình là 12,5 (SD = 1,1). Phân bố khối lớp: khối 6 (n = 368), khối 7 (n = 316), khối 8 (n = 340), khối 9 (n = 328). Tất cả tám thang đo đạt độ nhất quán nội tại chấp nhận được (Cronbach α ≥ 0,70) và độ phù hợp CFA đầy đủ (CFI ≥ 0,90; RMSEA ≤ 0,08). Các chỉ số tâm trắc chi tiết được trình bày trong Bảng 2.</w:t>
      </w:r>
    </w:p>
    <w:p>
      <w:pPr>
        <w:spacing w:before="160" w:after="40"/>
      </w:pPr>
      <w:r>
        <w:rPr>
          <w:rFonts w:ascii="Times New Roman" w:hAnsi="Times New Roman"/>
          <w:b/>
          <w:sz w:val="24"/>
        </w:rPr>
        <w:t>3.2 Descriptive anxiety levels</w:t>
      </w:r>
    </w:p>
    <w:p>
      <w:pPr>
        <w:spacing w:after="80"/>
      </w:pPr>
      <w:r>
        <w:rPr>
          <w:rFonts w:ascii="Times New Roman" w:hAnsi="Times New Roman"/>
          <w:b/>
          <w:i/>
          <w:sz w:val="22"/>
        </w:rPr>
        <w:t>3.2 Mức độ lo âu mô tả</w:t>
      </w:r>
    </w:p>
    <w:p>
      <w:pPr>
        <w:spacing w:after="60"/>
        <w:ind w:firstLine="283"/>
        <w:jc w:val="both"/>
      </w:pPr>
      <w:r>
        <w:rPr>
          <w:rFonts w:ascii="Times New Roman" w:hAnsi="Times New Roman"/>
          <w:sz w:val="24"/>
        </w:rPr>
        <w:t>On the 0–100 metric, mean anxiety scores differed substantially across subtypes: GAD M = 55.82 (SD ≈ 22.4), SocAD M = 48.41 (SD = 26.19) and SAD M = 25.06 (SD = 24.29). Separation anxiety scored markedly lower than both generalised and social anxiety, in line with developmental theory positing childhood onset and attenuation across early adolescence.</w:t>
      </w:r>
    </w:p>
    <w:p>
      <w:pPr>
        <w:spacing w:after="160"/>
        <w:ind w:firstLine="283"/>
        <w:jc w:val="both"/>
      </w:pPr>
      <w:r>
        <w:rPr>
          <w:rFonts w:ascii="Times New Roman" w:hAnsi="Times New Roman"/>
          <w:i/>
          <w:color w:val="404040"/>
          <w:sz w:val="22"/>
        </w:rPr>
        <w:t>Trên thang 0–100, điểm lo âu trung bình khác biệt đáng kể giữa các phân loại: GAD M = 55,82 (SD ≈ 22,4); SocAD M = 48,41 (SD = 26,19) và SAD M = 25,06 (SD = 24,29). Lo âu chia ly có điểm thấp hơn rõ rệt so với cả lo âu tổng quát và lo âu xã hội, phù hợp với lý thuyết phát triển cho rằng SAD khởi phát từ thời thơ ấu và suy giảm dần khi vào tuổi thanh thiếu niên sớm.</w:t>
      </w:r>
    </w:p>
    <w:p>
      <w:pPr>
        <w:spacing w:before="160" w:after="40"/>
      </w:pPr>
      <w:r>
        <w:rPr>
          <w:rFonts w:ascii="Times New Roman" w:hAnsi="Times New Roman"/>
          <w:b/>
          <w:sz w:val="24"/>
        </w:rPr>
        <w:t>3.3 Subtype-specific path coefficients (Table 3)</w:t>
      </w:r>
    </w:p>
    <w:p>
      <w:pPr>
        <w:spacing w:after="80"/>
      </w:pPr>
      <w:r>
        <w:rPr>
          <w:rFonts w:ascii="Times New Roman" w:hAnsi="Times New Roman"/>
          <w:b/>
          <w:i/>
          <w:sz w:val="22"/>
        </w:rPr>
        <w:t>3.3 Hệ số đường dẫn theo từng phân loại (Bảng 3)</w:t>
      </w:r>
    </w:p>
    <w:p>
      <w:pPr>
        <w:spacing w:after="60"/>
        <w:ind w:firstLine="283"/>
        <w:jc w:val="both"/>
      </w:pPr>
      <w:r>
        <w:rPr>
          <w:rFonts w:ascii="Times New Roman" w:hAnsi="Times New Roman"/>
          <w:sz w:val="24"/>
        </w:rPr>
        <w:t>Subtype-specific SEM was run for each of the seven predictors against GAD, SAD, SocAD and total RLLA. All 21 risk-anxiety paths and 12 of 12 protective-anxiety paths to GAD/SocAD reached statistical significance, with the conspicuous exceptions of peer support paths to GAD and SAD (n.s.) and school engagement → SAD (n.s.). Detailed coefficients appear below.</w:t>
      </w:r>
    </w:p>
    <w:p>
      <w:pPr>
        <w:spacing w:after="160"/>
        <w:ind w:firstLine="283"/>
        <w:jc w:val="both"/>
      </w:pPr>
      <w:r>
        <w:rPr>
          <w:rFonts w:ascii="Times New Roman" w:hAnsi="Times New Roman"/>
          <w:i/>
          <w:color w:val="404040"/>
          <w:sz w:val="22"/>
        </w:rPr>
        <w:t>SEM theo từng phân loại được chạy cho mỗi yếu tố trong số bảy yếu tố dự báo với GAD, SAD, SocAD và RLLA tổng. Toàn bộ 21 đường dẫn nguy cơ – lo âu và 12 trên 12 đường dẫn bảo vệ – lo âu tới GAD/SocAD đạt ý nghĩa thống kê, với ngoại lệ rõ ràng là các đường dẫn hỗ trợ bạn bè tới GAD và SAD (không có ý nghĩa) và gắn bó trường học tới SAD (không có ý nghĩa). Hệ số chi tiết được trình bày bên dưới.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3118"/>
          </w:tcPr>
          <w:p>
            <w:r>
              <w:rPr>
                <w:b/>
                <w:sz w:val="20"/>
              </w:rPr>
              <w:t>Predictor</w:t>
            </w:r>
          </w:p>
        </w:tc>
        <w:tc>
          <w:tcPr>
            <w:tcW w:type="dxa" w:w="1361"/>
          </w:tcPr>
          <w:p>
            <w:r>
              <w:rPr>
                <w:b/>
                <w:sz w:val="20"/>
              </w:rPr>
              <w:t>→ GAD (β)</w:t>
            </w:r>
          </w:p>
        </w:tc>
        <w:tc>
          <w:tcPr>
            <w:tcW w:type="dxa" w:w="1361"/>
          </w:tcPr>
          <w:p>
            <w:r>
              <w:rPr>
                <w:b/>
                <w:sz w:val="20"/>
              </w:rPr>
              <w:t>→ SAD (β)</w:t>
            </w:r>
          </w:p>
        </w:tc>
        <w:tc>
          <w:tcPr>
            <w:tcW w:type="dxa" w:w="1361"/>
          </w:tcPr>
          <w:p>
            <w:r>
              <w:rPr>
                <w:b/>
                <w:sz w:val="20"/>
              </w:rPr>
              <w:t>→ SocAD (β)</w:t>
            </w:r>
          </w:p>
        </w:tc>
        <w:tc>
          <w:tcPr>
            <w:tcW w:type="dxa" w:w="2268"/>
          </w:tcPr>
          <w:p>
            <w:r>
              <w:rPr>
                <w:b/>
                <w:sz w:val="20"/>
              </w:rPr>
              <w:t>→ Total RLLA (β; R²)</w:t>
            </w:r>
          </w:p>
        </w:tc>
      </w:tr>
      <w:tr>
        <w:tc>
          <w:tcPr>
            <w:tcW w:type="dxa" w:w="3118"/>
          </w:tcPr>
          <w:p>
            <w:r>
              <w:rPr>
                <w:sz w:val="20"/>
              </w:rPr>
              <w:t>RISK FACTORS / YẾU TỐ NGUY CƠ</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Academic pressure (ALHT) / Áp lực học tập</w:t>
            </w:r>
          </w:p>
        </w:tc>
        <w:tc>
          <w:tcPr>
            <w:tcW w:type="dxa" w:w="1361"/>
          </w:tcPr>
          <w:p>
            <w:r>
              <w:rPr>
                <w:sz w:val="20"/>
              </w:rPr>
              <w:t>+0,510***</w:t>
            </w:r>
          </w:p>
        </w:tc>
        <w:tc>
          <w:tcPr>
            <w:tcW w:type="dxa" w:w="1361"/>
          </w:tcPr>
          <w:p>
            <w:r>
              <w:rPr>
                <w:sz w:val="20"/>
              </w:rPr>
              <w:t>+0,253***</w:t>
            </w:r>
          </w:p>
        </w:tc>
        <w:tc>
          <w:tcPr>
            <w:tcW w:type="dxa" w:w="1361"/>
          </w:tcPr>
          <w:p>
            <w:r>
              <w:rPr>
                <w:sz w:val="20"/>
              </w:rPr>
              <w:t>+0,490***</w:t>
            </w:r>
          </w:p>
        </w:tc>
        <w:tc>
          <w:tcPr>
            <w:tcW w:type="dxa" w:w="2268"/>
          </w:tcPr>
          <w:p>
            <w:r>
              <w:rPr>
                <w:sz w:val="20"/>
              </w:rPr>
              <w:t>+0,533*** (R²=0,284)</w:t>
            </w:r>
          </w:p>
        </w:tc>
      </w:tr>
      <w:tr>
        <w:tc>
          <w:tcPr>
            <w:tcW w:type="dxa" w:w="3118"/>
          </w:tcPr>
          <w:p>
            <w:r>
              <w:rPr>
                <w:sz w:val="20"/>
              </w:rPr>
              <w:t>Smartphone addiction (NĐT) / Nghiện điện thoại</w:t>
            </w:r>
          </w:p>
        </w:tc>
        <w:tc>
          <w:tcPr>
            <w:tcW w:type="dxa" w:w="1361"/>
          </w:tcPr>
          <w:p>
            <w:r>
              <w:rPr>
                <w:sz w:val="20"/>
              </w:rPr>
              <w:t>+0,336***</w:t>
            </w:r>
          </w:p>
        </w:tc>
        <w:tc>
          <w:tcPr>
            <w:tcW w:type="dxa" w:w="1361"/>
          </w:tcPr>
          <w:p>
            <w:r>
              <w:rPr>
                <w:sz w:val="20"/>
              </w:rPr>
              <w:t>+0,265***</w:t>
            </w:r>
          </w:p>
        </w:tc>
        <w:tc>
          <w:tcPr>
            <w:tcW w:type="dxa" w:w="1361"/>
          </w:tcPr>
          <w:p>
            <w:r>
              <w:rPr>
                <w:sz w:val="20"/>
              </w:rPr>
              <w:t>+0,383***</w:t>
            </w:r>
          </w:p>
        </w:tc>
        <w:tc>
          <w:tcPr>
            <w:tcW w:type="dxa" w:w="2268"/>
          </w:tcPr>
          <w:p>
            <w:r>
              <w:rPr>
                <w:sz w:val="20"/>
              </w:rPr>
              <w:t>+0,400*** (R²=0,160)</w:t>
            </w:r>
          </w:p>
        </w:tc>
      </w:tr>
      <w:tr>
        <w:tc>
          <w:tcPr>
            <w:tcW w:type="dxa" w:w="3118"/>
          </w:tcPr>
          <w:p>
            <w:r>
              <w:rPr>
                <w:sz w:val="20"/>
              </w:rPr>
              <w:t>School bullying (BNHĐ) / Bắt nạt học đường</w:t>
            </w:r>
          </w:p>
        </w:tc>
        <w:tc>
          <w:tcPr>
            <w:tcW w:type="dxa" w:w="1361"/>
          </w:tcPr>
          <w:p>
            <w:r>
              <w:rPr>
                <w:sz w:val="20"/>
              </w:rPr>
              <w:t>+0,215***</w:t>
            </w:r>
          </w:p>
        </w:tc>
        <w:tc>
          <w:tcPr>
            <w:tcW w:type="dxa" w:w="1361"/>
          </w:tcPr>
          <w:p>
            <w:r>
              <w:rPr>
                <w:sz w:val="20"/>
              </w:rPr>
              <w:t>+0,376*** ★</w:t>
            </w:r>
          </w:p>
        </w:tc>
        <w:tc>
          <w:tcPr>
            <w:tcW w:type="dxa" w:w="1361"/>
          </w:tcPr>
          <w:p>
            <w:r>
              <w:rPr>
                <w:sz w:val="20"/>
              </w:rPr>
              <w:t>+0,253***</w:t>
            </w:r>
          </w:p>
        </w:tc>
        <w:tc>
          <w:tcPr>
            <w:tcW w:type="dxa" w:w="2268"/>
          </w:tcPr>
          <w:p>
            <w:r>
              <w:rPr>
                <w:sz w:val="20"/>
              </w:rPr>
              <w:t>+0,276*** (R²=0,076)</w:t>
            </w:r>
          </w:p>
        </w:tc>
      </w:tr>
      <w:tr>
        <w:tc>
          <w:tcPr>
            <w:tcW w:type="dxa" w:w="3118"/>
          </w:tcPr>
          <w:p>
            <w:r>
              <w:rPr>
                <w:sz w:val="20"/>
              </w:rPr>
              <w:t>PROTECTIVE FACTORS / YẾU TỐ BẢO VỆ</w:t>
            </w:r>
          </w:p>
        </w:tc>
        <w:tc>
          <w:tcPr>
            <w:tcW w:type="dxa" w:w="1361"/>
          </w:tcPr>
          <w:p>
            <w:r>
              <w:rPr>
                <w:sz w:val="20"/>
              </w:rPr>
            </w:r>
          </w:p>
        </w:tc>
        <w:tc>
          <w:tcPr>
            <w:tcW w:type="dxa" w:w="1361"/>
          </w:tcPr>
          <w:p>
            <w:r>
              <w:rPr>
                <w:sz w:val="20"/>
              </w:rPr>
            </w:r>
          </w:p>
        </w:tc>
        <w:tc>
          <w:tcPr>
            <w:tcW w:type="dxa" w:w="1361"/>
          </w:tcPr>
          <w:p>
            <w:r>
              <w:rPr>
                <w:sz w:val="20"/>
              </w:rPr>
            </w:r>
          </w:p>
        </w:tc>
        <w:tc>
          <w:tcPr>
            <w:tcW w:type="dxa" w:w="2268"/>
          </w:tcPr>
          <w:p>
            <w:r>
              <w:rPr>
                <w:sz w:val="20"/>
              </w:rPr>
            </w:r>
          </w:p>
        </w:tc>
      </w:tr>
      <w:tr>
        <w:tc>
          <w:tcPr>
            <w:tcW w:type="dxa" w:w="3118"/>
          </w:tcPr>
          <w:p>
            <w:r>
              <w:rPr>
                <w:sz w:val="20"/>
              </w:rPr>
              <w:t>School engagement (GBTH) / Gắn bó trường học</w:t>
            </w:r>
          </w:p>
        </w:tc>
        <w:tc>
          <w:tcPr>
            <w:tcW w:type="dxa" w:w="1361"/>
          </w:tcPr>
          <w:p>
            <w:r>
              <w:rPr>
                <w:sz w:val="20"/>
              </w:rPr>
              <w:t>−0,108**</w:t>
            </w:r>
          </w:p>
        </w:tc>
        <w:tc>
          <w:tcPr>
            <w:tcW w:type="dxa" w:w="1361"/>
          </w:tcPr>
          <w:p>
            <w:r>
              <w:rPr>
                <w:sz w:val="20"/>
              </w:rPr>
              <w:t>+0,014 (n.s.)</w:t>
            </w:r>
          </w:p>
        </w:tc>
        <w:tc>
          <w:tcPr>
            <w:tcW w:type="dxa" w:w="1361"/>
          </w:tcPr>
          <w:p>
            <w:r>
              <w:rPr>
                <w:sz w:val="20"/>
              </w:rPr>
              <w:t>−0,187***</w:t>
            </w:r>
          </w:p>
        </w:tc>
        <w:tc>
          <w:tcPr>
            <w:tcW w:type="dxa" w:w="2268"/>
          </w:tcPr>
          <w:p>
            <w:r>
              <w:rPr>
                <w:sz w:val="20"/>
              </w:rPr>
              <w:t>−0,155*** (R²=0,024)</w:t>
            </w:r>
          </w:p>
        </w:tc>
      </w:tr>
      <w:tr>
        <w:tc>
          <w:tcPr>
            <w:tcW w:type="dxa" w:w="3118"/>
          </w:tcPr>
          <w:p>
            <w:r>
              <w:rPr>
                <w:sz w:val="20"/>
              </w:rPr>
              <w:t>Self-esteem (TTr) / Tự trọng</w:t>
            </w:r>
          </w:p>
        </w:tc>
        <w:tc>
          <w:tcPr>
            <w:tcW w:type="dxa" w:w="1361"/>
          </w:tcPr>
          <w:p>
            <w:r>
              <w:rPr>
                <w:sz w:val="20"/>
              </w:rPr>
              <w:t>−0,455*** ★</w:t>
            </w:r>
          </w:p>
        </w:tc>
        <w:tc>
          <w:tcPr>
            <w:tcW w:type="dxa" w:w="1361"/>
          </w:tcPr>
          <w:p>
            <w:r>
              <w:rPr>
                <w:sz w:val="20"/>
              </w:rPr>
              <w:t>−0,087*</w:t>
            </w:r>
          </w:p>
        </w:tc>
        <w:tc>
          <w:tcPr>
            <w:tcW w:type="dxa" w:w="1361"/>
          </w:tcPr>
          <w:p>
            <w:r>
              <w:rPr>
                <w:sz w:val="20"/>
              </w:rPr>
              <w:t>−0,415***</w:t>
            </w:r>
          </w:p>
        </w:tc>
        <w:tc>
          <w:tcPr>
            <w:tcW w:type="dxa" w:w="2268"/>
          </w:tcPr>
          <w:p>
            <w:r>
              <w:rPr>
                <w:sz w:val="20"/>
              </w:rPr>
              <w:t>−0,457*** (R²=0,209)</w:t>
            </w:r>
          </w:p>
        </w:tc>
      </w:tr>
      <w:tr>
        <w:tc>
          <w:tcPr>
            <w:tcW w:type="dxa" w:w="3118"/>
          </w:tcPr>
          <w:p>
            <w:r>
              <w:rPr>
                <w:sz w:val="20"/>
              </w:rPr>
              <w:t>Parental support (HTCM) / Hỗ trợ cha mẹ</w:t>
            </w:r>
          </w:p>
        </w:tc>
        <w:tc>
          <w:tcPr>
            <w:tcW w:type="dxa" w:w="1361"/>
          </w:tcPr>
          <w:p>
            <w:r>
              <w:rPr>
                <w:sz w:val="20"/>
              </w:rPr>
              <w:t>−0,172***</w:t>
            </w:r>
          </w:p>
        </w:tc>
        <w:tc>
          <w:tcPr>
            <w:tcW w:type="dxa" w:w="1361"/>
          </w:tcPr>
          <w:p>
            <w:r>
              <w:rPr>
                <w:sz w:val="20"/>
              </w:rPr>
              <w:t>0,000 (n.s.)</w:t>
            </w:r>
          </w:p>
        </w:tc>
        <w:tc>
          <w:tcPr>
            <w:tcW w:type="dxa" w:w="1361"/>
          </w:tcPr>
          <w:p>
            <w:r>
              <w:rPr>
                <w:sz w:val="20"/>
              </w:rPr>
              <w:t>−0,273***</w:t>
            </w:r>
          </w:p>
        </w:tc>
        <w:tc>
          <w:tcPr>
            <w:tcW w:type="dxa" w:w="2268"/>
          </w:tcPr>
          <w:p>
            <w:r>
              <w:rPr>
                <w:sz w:val="20"/>
              </w:rPr>
              <w:t>−0,234*** (R²=0,055)</w:t>
            </w:r>
          </w:p>
        </w:tc>
      </w:tr>
      <w:tr>
        <w:tc>
          <w:tcPr>
            <w:tcW w:type="dxa" w:w="3118"/>
          </w:tcPr>
          <w:p>
            <w:r>
              <w:rPr>
                <w:sz w:val="20"/>
              </w:rPr>
              <w:t>Peer support (HTBB) / Hỗ trợ bạn bè</w:t>
            </w:r>
          </w:p>
        </w:tc>
        <w:tc>
          <w:tcPr>
            <w:tcW w:type="dxa" w:w="1361"/>
          </w:tcPr>
          <w:p>
            <w:r>
              <w:rPr>
                <w:sz w:val="20"/>
              </w:rPr>
              <w:t>−0,015 (n.s.)</w:t>
            </w:r>
          </w:p>
        </w:tc>
        <w:tc>
          <w:tcPr>
            <w:tcW w:type="dxa" w:w="1361"/>
          </w:tcPr>
          <w:p>
            <w:r>
              <w:rPr>
                <w:sz w:val="20"/>
              </w:rPr>
              <w:t>−0,019 (n.s.)</w:t>
            </w:r>
          </w:p>
        </w:tc>
        <w:tc>
          <w:tcPr>
            <w:tcW w:type="dxa" w:w="1361"/>
          </w:tcPr>
          <w:p>
            <w:r>
              <w:rPr>
                <w:sz w:val="20"/>
              </w:rPr>
              <w:t>−0,079*</w:t>
            </w:r>
          </w:p>
        </w:tc>
        <w:tc>
          <w:tcPr>
            <w:tcW w:type="dxa" w:w="2268"/>
          </w:tcPr>
          <w:p>
            <w:r>
              <w:rPr>
                <w:sz w:val="20"/>
              </w:rPr>
              <w:t>−0,044 (n.s.) (R²=0,002)</w:t>
            </w:r>
          </w:p>
        </w:tc>
      </w:tr>
    </w:tbl>
    <w:p>
      <w:pPr>
        <w:spacing w:after="60"/>
        <w:jc w:val="both"/>
      </w:pPr>
      <w:r>
        <w:rPr>
          <w:rFonts w:ascii="Times New Roman" w:hAnsi="Times New Roman"/>
          <w:sz w:val="24"/>
        </w:rPr>
        <w:t>Note. *** p &lt; 0.001; ** p &lt; 0.01; * p &lt; 0.05; n.s. = non-significant. ★ = key novel pathways. β verified against LA Bảng 27 (ALHT), 30 (NĐT), 33 (BNHĐ), 36 (GBTH), 39 (TTr), 42 (HTCM), 45 (HTBB).</w:t>
      </w:r>
    </w:p>
    <w:p>
      <w:pPr>
        <w:spacing w:after="160"/>
        <w:jc w:val="both"/>
      </w:pPr>
      <w:r>
        <w:rPr>
          <w:rFonts w:ascii="Times New Roman" w:hAnsi="Times New Roman"/>
          <w:i/>
          <w:color w:val="404040"/>
          <w:sz w:val="22"/>
        </w:rPr>
        <w:t>Ghi chú. *** p &lt; 0,001; ** p &lt; 0,01; * p &lt; 0,05; n.s. = không có ý nghĩa thống kê. ★ = các đường dẫn then chốt mới. Các giá trị β đã được đối chiếu với LA Bảng 27 (ALHT), 30 (NĐT), 33 (BNHĐ), 36 (GBTH), 39 (TTr), 42 (HTCM), 45 (HTBB).</w:t>
      </w:r>
    </w:p>
    <w:p>
      <w:pPr>
        <w:spacing w:before="160" w:after="40"/>
      </w:pPr>
      <w:r>
        <w:rPr>
          <w:rFonts w:ascii="Times New Roman" w:hAnsi="Times New Roman"/>
          <w:b/>
          <w:sz w:val="24"/>
        </w:rPr>
        <w:t>3.4 Three differential-pathway findings</w:t>
      </w:r>
    </w:p>
    <w:p>
      <w:pPr>
        <w:spacing w:after="80"/>
      </w:pPr>
      <w:r>
        <w:rPr>
          <w:rFonts w:ascii="Times New Roman" w:hAnsi="Times New Roman"/>
          <w:b/>
          <w:i/>
          <w:sz w:val="22"/>
        </w:rPr>
        <w:t>3.4 Ba phát hiện đường dẫn khác biệt</w:t>
      </w:r>
    </w:p>
    <w:p>
      <w:pPr>
        <w:spacing w:after="60"/>
        <w:ind w:firstLine="283"/>
        <w:jc w:val="both"/>
      </w:pPr>
      <w:r>
        <w:rPr>
          <w:rFonts w:ascii="Times New Roman" w:hAnsi="Times New Roman"/>
          <w:sz w:val="24"/>
        </w:rPr>
        <w:t>First, school bullying showed its strongest path to separation anxiety (β = 0.376, p &lt; 0.001), exceeding its paths to GAD (β = 0.215) and SocAD (β = 0.253). This pattern is counterintuitive because bullying is most often theorised as a social-evaluative stressor and might therefore be expected to associate most strongly with SocAD. The selective amplification of separation anxiety suggests that, for Vietnamese lower-secondary adolescents, school bullying activates attachment insecurity rather than social-evaluative concerns per se.</w:t>
      </w:r>
    </w:p>
    <w:p>
      <w:pPr>
        <w:spacing w:after="160"/>
        <w:ind w:firstLine="283"/>
        <w:jc w:val="both"/>
      </w:pPr>
      <w:r>
        <w:rPr>
          <w:rFonts w:ascii="Times New Roman" w:hAnsi="Times New Roman"/>
          <w:i/>
          <w:color w:val="404040"/>
          <w:sz w:val="22"/>
        </w:rPr>
        <w:t>Thứ nhất, bắt nạt học đường có đường dẫn mạnh nhất tới lo âu chia ly (β = 0,376; p &lt; 0,001), vượt qua các đường dẫn tới GAD (β = 0,215) và SocAD (β = 0,253). Mẫu hình này phản trực giác vì bắt nạt thường được lý thuyết hóa là stress đánh giá xã hội nên lẽ ra liên hệ mạnh nhất với SocAD. Sự khuếch đại chọn lọc của lo âu chia ly gợi ý rằng, với học sinh trung học cơ sở Việt Nam, bắt nạt học đường kích hoạt mất an toàn gắn bó hơn là các mối lo đánh giá xã hội thuần túy.</w:t>
      </w:r>
    </w:p>
    <w:p>
      <w:pPr>
        <w:spacing w:after="60"/>
        <w:ind w:firstLine="283"/>
        <w:jc w:val="both"/>
      </w:pPr>
      <w:r>
        <w:rPr>
          <w:rFonts w:ascii="Times New Roman" w:hAnsi="Times New Roman"/>
          <w:sz w:val="24"/>
        </w:rPr>
        <w:t>Second, self-esteem emerged as the strongest single protective lever for GAD (β = −0.455, p &lt; 0.001), with magnitude approaching the dominant academic-pressure risk effect on GAD (β = 0.510). The total RLLA path from self-esteem was −0.457 (R² = 0.209). This positions self-esteem building as a high-yield intervention target.</w:t>
      </w:r>
    </w:p>
    <w:p>
      <w:pPr>
        <w:spacing w:after="160"/>
        <w:ind w:firstLine="283"/>
        <w:jc w:val="both"/>
      </w:pPr>
      <w:r>
        <w:rPr>
          <w:rFonts w:ascii="Times New Roman" w:hAnsi="Times New Roman"/>
          <w:i/>
          <w:color w:val="404040"/>
          <w:sz w:val="22"/>
        </w:rPr>
        <w:t>Thứ hai, tự trọng nổi lên là đòn bẩy bảo vệ đơn lẻ mạnh nhất đối với GAD (β = −0,455; p &lt; 0,001), với độ lớn gần bằng tác động chiếm ưu thế của áp lực học tập lên GAD (β = 0,510). Đường dẫn tổng từ tự trọng tới RLLA là −0,457 (R² = 0,209). Điều này định vị xây dựng tự trọng như một mục tiêu can thiệp có hiệu suất cao.</w:t>
      </w:r>
    </w:p>
    <w:p>
      <w:pPr>
        <w:spacing w:after="60"/>
        <w:ind w:firstLine="283"/>
        <w:jc w:val="both"/>
      </w:pPr>
      <w:r>
        <w:rPr>
          <w:rFonts w:ascii="Times New Roman" w:hAnsi="Times New Roman"/>
          <w:sz w:val="24"/>
        </w:rPr>
        <w:t>Third, peer support showed no significant effect on total RLLA (β = −0.044, p = 0.183, R² = 0.002), and was non-significant for both GAD (β = −0.015, n.s.) and SAD (β = −0.019, n.s.), reaching only marginal significance for SocAD (β = −0.079, p = 0.020). This pattern challenges the assumed universal protective role of peer relationships and is consistent with the co-rumination hypothesis: among adolescents who do confide, frequency of peer disclosure may not equate to quality of support.</w:t>
      </w:r>
    </w:p>
    <w:p>
      <w:pPr>
        <w:spacing w:after="160"/>
        <w:ind w:firstLine="283"/>
        <w:jc w:val="both"/>
      </w:pPr>
      <w:r>
        <w:rPr>
          <w:rFonts w:ascii="Times New Roman" w:hAnsi="Times New Roman"/>
          <w:i/>
          <w:color w:val="404040"/>
          <w:sz w:val="22"/>
        </w:rPr>
        <w:t>Thứ ba, hỗ trợ bạn bè không có tác động có ý nghĩa lên tổng RLLA (β = −0,044; p = 0,183; R² = 0,002), không có ý nghĩa với cả GAD (β = −0,015) và SAD (β = −0,019), chỉ đạt ý nghĩa cận biên với SocAD (β = −0,079; p = 0,020). Mẫu hình này thách thức vai trò bảo vệ phổ quát được giả định của quan hệ bạn bè và phù hợp với giả thuyết co-rumination: ở thanh thiếu niên có chia sẻ, tần suất giãi bày với bạn bè không nhất thiết đồng nghĩa với chất lượng hỗ trợ.</w:t>
      </w:r>
    </w:p>
    <w:p>
      <w:pPr>
        <w:spacing w:before="160" w:after="40"/>
      </w:pPr>
      <w:r>
        <w:rPr>
          <w:rFonts w:ascii="Times New Roman" w:hAnsi="Times New Roman"/>
          <w:b/>
          <w:sz w:val="24"/>
        </w:rPr>
        <w:t>3.5 Integrated risk-protective composite model</w:t>
      </w:r>
    </w:p>
    <w:p>
      <w:pPr>
        <w:spacing w:after="80"/>
      </w:pPr>
      <w:r>
        <w:rPr>
          <w:rFonts w:ascii="Times New Roman" w:hAnsi="Times New Roman"/>
          <w:b/>
          <w:i/>
          <w:sz w:val="22"/>
        </w:rPr>
        <w:t>3.5 Mô hình tích hợp nguy cơ – bảo vệ tổng hợp</w:t>
      </w:r>
    </w:p>
    <w:p>
      <w:pPr>
        <w:spacing w:after="60"/>
        <w:ind w:firstLine="283"/>
        <w:jc w:val="both"/>
      </w:pPr>
      <w:r>
        <w:rPr>
          <w:rFonts w:ascii="Times New Roman" w:hAnsi="Times New Roman"/>
          <w:sz w:val="24"/>
        </w:rPr>
        <w:t>A higher-order composite SEM combined the three risk factors into a Risk latent (YTNC) and the four protective factors into a Protective latent (YTBV), both predicting total RLLA simultaneously. The composite Risk → RLLA path was β = 0.669 (p &lt; 0.001) and the composite Protective → RLLA path was β = −0.220 (p &lt; 0.001), with integrated R² = 0.598 for total RLLA. The risk-side composite thus accounted for approximately three times the standardised effect of the protective-side composite, indicating that risk-factor reduction may be the higher-leverage intervention target at the population level in this Vietnamese sample.</w:t>
      </w:r>
    </w:p>
    <w:p>
      <w:pPr>
        <w:spacing w:after="160"/>
        <w:ind w:firstLine="283"/>
        <w:jc w:val="both"/>
      </w:pPr>
      <w:r>
        <w:rPr>
          <w:rFonts w:ascii="Times New Roman" w:hAnsi="Times New Roman"/>
          <w:i/>
          <w:color w:val="404040"/>
          <w:sz w:val="22"/>
        </w:rPr>
        <w:t>Một SEM tổng hợp bậc cao kết hợp ba yếu tố nguy cơ thành một biến tiềm ẩn Nguy cơ (YTNC) và bốn yếu tố bảo vệ thành một biến tiềm ẩn Bảo vệ (YTBV), cả hai cùng dự báo tổng RLLA đồng thời. Đường dẫn tổng hợp Nguy cơ → RLLA là β = 0,669 (p &lt; 0,001) và đường dẫn tổng hợp Bảo vệ → RLLA là β = −0,220 (p &lt; 0,001), với R² tích hợp = 0,598 cho tổng RLLA. Như vậy, mặt nguy cơ chiếm khoảng gấp ba lần ảnh hưởng chuẩn hóa của mặt bảo vệ, cho thấy giảm yếu tố nguy cơ có thể là mục tiêu can thiệp có đòn bẩy cao hơn ở cấp độ quần thể trong mẫu Việt Nam này.</w:t>
      </w:r>
    </w:p>
    <w:p>
      <w:pPr>
        <w:spacing w:before="160" w:after="40"/>
      </w:pPr>
      <w:r>
        <w:rPr>
          <w:rFonts w:ascii="Times New Roman" w:hAnsi="Times New Roman"/>
          <w:b/>
          <w:sz w:val="24"/>
        </w:rPr>
        <w:t>3.6 Multi-group invariance by gender — H3 supported</w:t>
      </w:r>
    </w:p>
    <w:p>
      <w:pPr>
        <w:spacing w:after="80"/>
      </w:pPr>
      <w:r>
        <w:rPr>
          <w:rFonts w:ascii="Times New Roman" w:hAnsi="Times New Roman"/>
          <w:b/>
          <w:i/>
          <w:sz w:val="22"/>
        </w:rPr>
        <w:t>3.6 Bất biến đa nhóm theo giới — H3 được ủng hộ</w:t>
      </w:r>
    </w:p>
    <w:p>
      <w:pPr>
        <w:spacing w:after="60"/>
        <w:ind w:firstLine="283"/>
        <w:jc w:val="both"/>
      </w:pPr>
      <w:r>
        <w:rPr>
          <w:rFonts w:ascii="Times New Roman" w:hAnsi="Times New Roman"/>
          <w:sz w:val="24"/>
        </w:rPr>
        <w:t>Configural invariance was achieved (both groups fitted the same structural model), supporting subsequent invariance comparisons, following procedures established for cross-gender invariance of GAD-7 in adolescent samples [Niwenahisemo, Su, &amp; Kuang 2024]. Mean scores diverged significantly by gender for GAD (Female M = 59.47 vs Male M = 51.43; F = 44.48, p &lt; 0.001) and SocAD (Female M = 52.74 vs Male M = 43.20; F = 45.98, p &lt; 0.001). Strikingly, SAD exhibited complete gender invariance (Female M = 24.76 vs Male M = 25.42; F = 0.246, p = 0.620), consistent with H3. This is the first documented instance of complete SAD gender invariance in a Vietnamese lower-secondary sample.</w:t>
      </w:r>
    </w:p>
    <w:p>
      <w:pPr>
        <w:spacing w:after="160"/>
        <w:ind w:firstLine="283"/>
        <w:jc w:val="both"/>
      </w:pPr>
      <w:r>
        <w:rPr>
          <w:rFonts w:ascii="Times New Roman" w:hAnsi="Times New Roman"/>
          <w:i/>
          <w:color w:val="404040"/>
          <w:sz w:val="22"/>
        </w:rPr>
        <w:t>Bất biến cấu hình được đạt (cả hai nhóm vừa khít cùng một mô hình cấu trúc), hỗ trợ các so sánh bất biến tiếp theo, theo các quy trình đã được thiết lập cho bất biến giữa các giới của GAD-7 trên mẫu thanh thiếu niên (Niwenahisemo, Su, &amp; Kuang 2024). Điểm trung bình khác biệt có ý nghĩa theo giới với GAD (nữ M = 59,47 so với nam M = 51,43; F = 44,48; p &lt; 0,001) và SocAD (nữ M = 52,74 so với nam M = 43,20; F = 45,98; p &lt; 0,001). Đáng chú ý, SAD thể hiện bất biến giới hoàn toàn (nữ M = 24,76 so với nam M = 25,42; F = 0,246; p = 0,620), phù hợp với H3. Đây là trường hợp được ghi nhận đầu tiên về bất biến giới hoàn toàn của SAD trên mẫu học sinh trung học cơ sở Việt Nam.</w:t>
      </w:r>
    </w:p>
    <w:p>
      <w:pPr>
        <w:spacing w:before="160" w:after="40"/>
      </w:pPr>
      <w:r>
        <w:rPr>
          <w:rFonts w:ascii="Times New Roman" w:hAnsi="Times New Roman"/>
          <w:b/>
          <w:sz w:val="24"/>
        </w:rPr>
        <w:t>3.7 Mixed-methods integration — joint display</w:t>
      </w:r>
    </w:p>
    <w:p>
      <w:pPr>
        <w:spacing w:after="80"/>
      </w:pPr>
      <w:r>
        <w:rPr>
          <w:rFonts w:ascii="Times New Roman" w:hAnsi="Times New Roman"/>
          <w:b/>
          <w:i/>
          <w:sz w:val="22"/>
        </w:rPr>
        <w:t>3.7 Tích hợp hỗn hợp — ma trận joint-display</w:t>
      </w:r>
    </w:p>
    <w:p>
      <w:pPr>
        <w:spacing w:after="120"/>
        <w:ind w:left="283"/>
      </w:pPr>
      <w:r>
        <w:rPr>
          <w:rFonts w:ascii="Times New Roman" w:hAnsi="Times New Roman"/>
          <w:b/>
          <w:color w:val="C00000"/>
          <w:sz w:val="22"/>
        </w:rPr>
        <w:t>⚠ [TBD — Q1-6 BLOCKING: Qualitative themes will be inserted following NCS interview data and transcripts; current Section 3.7 provides tentative themes only]</w:t>
      </w:r>
    </w:p>
    <w:p>
      <w:pPr>
        <w:spacing w:after="120"/>
        <w:ind w:left="283"/>
      </w:pPr>
      <w:r>
        <w:rPr>
          <w:rFonts w:ascii="Times New Roman" w:hAnsi="Times New Roman"/>
          <w:b/>
          <w:i/>
          <w:color w:val="C00000"/>
          <w:sz w:val="22"/>
        </w:rPr>
        <w:t>⚠ [Chờ — Q1-6 CHỜ: Các chủ đề định tính sẽ được chèn sau khi NCS cung cấp dữ liệu phỏng vấn và bản gỡ băng; Section 3.7 hiện tại chỉ trình bày các chủ đề tạm thời]</w:t>
      </w:r>
    </w:p>
    <w:p>
      <w:pPr>
        <w:spacing w:after="60"/>
        <w:ind w:firstLine="283"/>
        <w:jc w:val="both"/>
      </w:pPr>
      <w:r>
        <w:rPr>
          <w:rFonts w:ascii="Times New Roman" w:hAnsi="Times New Roman"/>
          <w:sz w:val="24"/>
        </w:rPr>
        <w:t>Three tentative themes are proposed for integration with the quantitative findings: (1) "Im lặng trong gia đình" (silent suffering in family) — illuminating limited parental-support efficacy; (2) "Áp lực bạn cùng lứa" (peer competitive pressure) — illuminating why peer support does not protect; and (3) "Sợ tách rời" (fear of separation) — illuminating gender invariance for SAD. A full joint-display matrix will be presented once interview data are finalised.</w:t>
      </w:r>
    </w:p>
    <w:p>
      <w:pPr>
        <w:spacing w:after="160"/>
        <w:ind w:firstLine="283"/>
        <w:jc w:val="both"/>
      </w:pPr>
      <w:r>
        <w:rPr>
          <w:rFonts w:ascii="Times New Roman" w:hAnsi="Times New Roman"/>
          <w:i/>
          <w:color w:val="404040"/>
          <w:sz w:val="22"/>
        </w:rPr>
        <w:t>Ba chủ đề tạm thời được đề xuất để tích hợp với các phát hiện định lượng: (1) "Im lặng trong gia đình" — làm rõ hiệu lực hạn chế của hỗ trợ cha mẹ; (2) "Áp lực bạn cùng lứa" — làm rõ vì sao hỗ trợ bạn bè không phòng vệ; và (3) "Sợ tách rời" — làm rõ bất biến giới của SAD. Ma trận joint-display đầy đủ sẽ được trình bày sau khi dữ liệu phỏng vấn được hoàn thiện.</w:t>
      </w:r>
    </w:p>
    <w:p>
      <w:r>
        <w:br w:type="page"/>
      </w:r>
    </w:p>
    <w:p>
      <w:pPr>
        <w:spacing w:before="280" w:after="60"/>
      </w:pPr>
      <w:r>
        <w:rPr>
          <w:rFonts w:ascii="Times New Roman" w:hAnsi="Times New Roman"/>
          <w:b/>
          <w:color w:val="2E74B5"/>
          <w:sz w:val="26"/>
        </w:rPr>
        <w:t>4. DISCUSSION</w:t>
      </w:r>
    </w:p>
    <w:p>
      <w:pPr>
        <w:spacing w:after="120"/>
      </w:pPr>
      <w:r>
        <w:rPr>
          <w:rFonts w:ascii="Times New Roman" w:hAnsi="Times New Roman"/>
          <w:b/>
          <w:i/>
          <w:color w:val="2E74B5"/>
          <w:sz w:val="24"/>
        </w:rPr>
        <w:t>4. THẢO LUẬN</w:t>
      </w:r>
    </w:p>
    <w:p>
      <w:pPr>
        <w:spacing w:before="160" w:after="40"/>
      </w:pPr>
      <w:r>
        <w:rPr>
          <w:rFonts w:ascii="Times New Roman" w:hAnsi="Times New Roman"/>
          <w:b/>
          <w:sz w:val="24"/>
        </w:rPr>
        <w:t>4.1 Summary of findings</w:t>
      </w:r>
    </w:p>
    <w:p>
      <w:pPr>
        <w:spacing w:after="80"/>
      </w:pPr>
      <w:r>
        <w:rPr>
          <w:rFonts w:ascii="Times New Roman" w:hAnsi="Times New Roman"/>
          <w:b/>
          <w:i/>
          <w:sz w:val="22"/>
        </w:rPr>
        <w:t>4.1 Tổng hợp các phát hiện</w:t>
      </w:r>
    </w:p>
    <w:p>
      <w:pPr>
        <w:spacing w:after="60"/>
        <w:ind w:firstLine="283"/>
        <w:jc w:val="both"/>
      </w:pPr>
      <w:r>
        <w:rPr>
          <w:rFonts w:ascii="Times New Roman" w:hAnsi="Times New Roman"/>
          <w:sz w:val="24"/>
        </w:rPr>
        <w:t>In a large Vietnamese lower-secondary sample, integrated SEM documented three differential-pathway findings: bullying showed its strongest impact on separation anxiety, self-esteem was the strongest single protective lever for generalised anxiety, and peer support exerted no significant protective effect on any subtype. The composite risk-protective model accounted for 59.8% of the variance in total anxiety, with risk-side contribution approximately three times the protective-side contribution. Multi-group invariance testing revealed gender differences for GAD and SocAD but complete gender invariance for SAD — a finding we interpret through a cultural-collectivism lens. H1 was supported in full; H2 was supported with the notable exception of peer-support paths; H3 was supported.</w:t>
      </w:r>
    </w:p>
    <w:p>
      <w:pPr>
        <w:spacing w:after="160"/>
        <w:ind w:firstLine="283"/>
        <w:jc w:val="both"/>
      </w:pPr>
      <w:r>
        <w:rPr>
          <w:rFonts w:ascii="Times New Roman" w:hAnsi="Times New Roman"/>
          <w:i/>
          <w:color w:val="404040"/>
          <w:sz w:val="22"/>
        </w:rPr>
        <w:t>Trong một mẫu lớn học sinh trung học cơ sở Việt Nam, SEM tích hợp ghi nhận ba phát hiện đường dẫn khác biệt: bắt nạt có tác động mạnh nhất lên lo âu chia ly, tự trọng là đòn bẩy bảo vệ đơn lẻ mạnh nhất đối với lo âu tổng quát, và hỗ trợ bạn bè không có hiệu lực bảo vệ có ý nghĩa với bất kỳ phân loại nào. Mô hình tổng hợp nguy cơ – bảo vệ giải thích 59,8% phương sai của tổng lo âu, với đóng góp của mặt nguy cơ khoảng gấp ba lần đóng góp của mặt bảo vệ. Kiểm định bất biến đa nhóm cho thấy khác biệt giới với GAD và SocAD nhưng bất biến giới hoàn toàn với SAD — một phát hiện chúng tôi diễn giải qua lăng kính văn hóa tập thể. H1 được ủng hộ đầy đủ; H2 được ủng hộ với ngoại lệ đáng chú ý của các đường dẫn từ hỗ trợ bạn bè; H3 được ủng hộ.</w:t>
      </w:r>
    </w:p>
    <w:p>
      <w:pPr>
        <w:spacing w:before="160" w:after="40"/>
      </w:pPr>
      <w:r>
        <w:rPr>
          <w:rFonts w:ascii="Times New Roman" w:hAnsi="Times New Roman"/>
          <w:b/>
          <w:sz w:val="24"/>
        </w:rPr>
        <w:t>4.2 Bullying → SAD as the strongest risk pathway</w:t>
      </w:r>
    </w:p>
    <w:p>
      <w:pPr>
        <w:spacing w:after="80"/>
      </w:pPr>
      <w:r>
        <w:rPr>
          <w:rFonts w:ascii="Times New Roman" w:hAnsi="Times New Roman"/>
          <w:b/>
          <w:i/>
          <w:sz w:val="22"/>
        </w:rPr>
        <w:t>4.2 Bắt nạt → lo âu chia ly: đường dẫn nguy cơ mạnh nhất</w:t>
      </w:r>
    </w:p>
    <w:p>
      <w:pPr>
        <w:spacing w:after="60"/>
        <w:ind w:firstLine="283"/>
        <w:jc w:val="both"/>
      </w:pPr>
      <w:r>
        <w:rPr>
          <w:rFonts w:ascii="Times New Roman" w:hAnsi="Times New Roman"/>
          <w:sz w:val="24"/>
        </w:rPr>
        <w:t>The dominance of bullying for separation anxiety (β = 0.376) rather than for the more theoretically anticipated social-anxiety subtype (β = 0.253) is, to our knowledge, the first such observation in a Vietnamese lower-secondary sample. We interpret this pattern via attachment theory: bullying victimisation plausibly disrupts the perception of school as a secondary secure base, intensifying attachment-related distress on separation from primary caregivers [Bowlby 1988]. The pattern aligns with cross-cultural evidence that bullying victimisation in collectivist contexts is preferentially processed as an attachment-related threat [Triandis 1995].</w:t>
      </w:r>
    </w:p>
    <w:p>
      <w:pPr>
        <w:spacing w:after="160"/>
        <w:ind w:firstLine="283"/>
        <w:jc w:val="both"/>
      </w:pPr>
      <w:r>
        <w:rPr>
          <w:rFonts w:ascii="Times New Roman" w:hAnsi="Times New Roman"/>
          <w:i/>
          <w:color w:val="404040"/>
          <w:sz w:val="22"/>
        </w:rPr>
        <w:t>Tính chiếm ưu thế của bắt nạt với lo âu chia ly (β = 0,376) so với phân loại lo âu xã hội được kỳ vọng về mặt lý thuyết (β = 0,253), theo hiểu biết của chúng tôi, là quan sát đầu tiên kiểu này trên mẫu học sinh trung học cơ sở Việt Nam. Chúng tôi diễn giải mẫu hình này qua lý thuyết gắn bó (Bowlby 1988): nạn nhân bắt nạt có khả năng làm gián đoạn nhận thức về trường học như một căn cứ an toàn thứ cấp, làm tăng cường đau khổ liên quan đến gắn bó khi chia ly với người chăm sóc chính. Mẫu hình này phù hợp với bằng chứng liên văn hóa rằng nạn nhân bắt nạt trong bối cảnh tập thể được xử lý ưu tiên như mối đe dọa liên quan đến gắn bó (Triandis 1995).</w:t>
      </w:r>
    </w:p>
    <w:p>
      <w:pPr>
        <w:spacing w:before="160" w:after="40"/>
      </w:pPr>
      <w:r>
        <w:rPr>
          <w:rFonts w:ascii="Times New Roman" w:hAnsi="Times New Roman"/>
          <w:b/>
          <w:sz w:val="24"/>
        </w:rPr>
        <w:t>4.3 Self-esteem as the strongest protective lever</w:t>
      </w:r>
    </w:p>
    <w:p>
      <w:pPr>
        <w:spacing w:after="80"/>
      </w:pPr>
      <w:r>
        <w:rPr>
          <w:rFonts w:ascii="Times New Roman" w:hAnsi="Times New Roman"/>
          <w:b/>
          <w:i/>
          <w:sz w:val="22"/>
        </w:rPr>
        <w:t>4.3 Tự trọng — đòn bẩy bảo vệ đơn lẻ mạnh nhất</w:t>
      </w:r>
    </w:p>
    <w:p>
      <w:pPr>
        <w:spacing w:after="60"/>
        <w:ind w:firstLine="283"/>
        <w:jc w:val="both"/>
      </w:pPr>
      <w:r>
        <w:rPr>
          <w:rFonts w:ascii="Times New Roman" w:hAnsi="Times New Roman"/>
          <w:sz w:val="24"/>
        </w:rPr>
        <w:t>Self-esteem's path to GAD (β = −0.455) approached the magnitude of academic pressure's risk path (β = 0.510), and its path to total RLLA reached β = −0.457 (R² = 0.209). These findings align with the Compas et al. (2017) meta-analysis (212 studies, N = 80,850), which identified secondary control coping — including cognitive reappraisal — as the most consistent predictor of lower internalising symptoms in childhood and adolescence. Systematic reviews of academic pressure and adolescent mental health [Pascoe et al. 2020; Steare et al. 2023] further support academic-stress management as a complementary intervention target. Together these data identify self-esteem building as a high-yield single-component intervention focus for adolescent GAD in the Vietnamese context.</w:t>
      </w:r>
    </w:p>
    <w:p>
      <w:pPr>
        <w:spacing w:after="160"/>
        <w:ind w:firstLine="283"/>
        <w:jc w:val="both"/>
      </w:pPr>
      <w:r>
        <w:rPr>
          <w:rFonts w:ascii="Times New Roman" w:hAnsi="Times New Roman"/>
          <w:i/>
          <w:color w:val="404040"/>
          <w:sz w:val="22"/>
        </w:rPr>
        <w:t>Đường dẫn của tự trọng tới GAD (β = −0,455) gần bằng độ lớn của đường dẫn nguy cơ từ áp lực học tập (β = 0,510), và đường dẫn của tự trọng tới tổng RLLA đạt β = −0,457 (R² = 0,209). Các phát hiện này phù hợp với phân tích tổng hợp của Compas và cộng sự (2017) (212 nghiên cứu, N = 80.850), trong đó nhận diện chiến lược ứng phó kiểm soát thứ cấp — bao gồm tái diễn giải nhận thức — là biến dự báo nhất quán nhất cho mức triệu chứng nội hóa thấp ở trẻ em và thanh thiếu niên. Các tổng quan hệ thống về áp lực học tập và sức khỏe tâm thần thanh thiếu niên (Pascoe và cộng sự 2020; Steare và cộng sự 2023) tiếp tục ủng hộ quản lý stress học tập như một mục tiêu can thiệp bổ trợ. Tổng hợp lại, các dữ liệu này xác định xây dựng tự trọng là một mục tiêu can thiệp đơn thành phần có hiệu suất cao cho GAD ở thanh thiếu niên trong bối cảnh Việt Nam.</w:t>
      </w:r>
    </w:p>
    <w:p>
      <w:pPr>
        <w:spacing w:before="160" w:after="40"/>
      </w:pPr>
      <w:r>
        <w:rPr>
          <w:rFonts w:ascii="Times New Roman" w:hAnsi="Times New Roman"/>
          <w:b/>
          <w:sz w:val="24"/>
        </w:rPr>
        <w:t>4.4 Peer support null effects: the co-rumination hypothesis</w:t>
      </w:r>
    </w:p>
    <w:p>
      <w:pPr>
        <w:spacing w:after="80"/>
      </w:pPr>
      <w:r>
        <w:rPr>
          <w:rFonts w:ascii="Times New Roman" w:hAnsi="Times New Roman"/>
          <w:b/>
          <w:i/>
          <w:sz w:val="22"/>
        </w:rPr>
        <w:t>4.4 Hỗ trợ bạn bè không có tác động: giả thuyết co-rumination</w:t>
      </w:r>
    </w:p>
    <w:p>
      <w:pPr>
        <w:spacing w:after="60"/>
        <w:ind w:firstLine="283"/>
        <w:jc w:val="both"/>
      </w:pPr>
      <w:r>
        <w:rPr>
          <w:rFonts w:ascii="Times New Roman" w:hAnsi="Times New Roman"/>
          <w:sz w:val="24"/>
        </w:rPr>
        <w:t>Western literature consistently identifies peer support as protective against adolescent internalising symptoms. Our null and marginally significant results across all three subtypes depart from this expectation. We propose two non-mutually-exclusive interpretations: first, in a Confucian-influenced collectivist context, peer disclosure norms may emphasise emotional regulation ("nhẫn", endurance) over expressive sharing, attenuating the support-seeking buffer mechanism; second, the co-rumination hypothesis suggests that frequent peer disclosure can recursively amplify worry rather than dissipate it, especially when academic-competition norms are operative. Future research employing qualitative deep-probes of peer support content (rather than frequency) is warranted.</w:t>
      </w:r>
    </w:p>
    <w:p>
      <w:pPr>
        <w:spacing w:after="160"/>
        <w:ind w:firstLine="283"/>
        <w:jc w:val="both"/>
      </w:pPr>
      <w:r>
        <w:rPr>
          <w:rFonts w:ascii="Times New Roman" w:hAnsi="Times New Roman"/>
          <w:i/>
          <w:color w:val="404040"/>
          <w:sz w:val="22"/>
        </w:rPr>
        <w:t>Y văn phương Tây thường xuyên xác định hỗ trợ bạn bè là yếu tố bảo vệ chống lại các triệu chứng nội hóa ở thanh thiếu niên. Các kết quả không có ý nghĩa và cận biên của chúng tôi xuyên suốt cả ba phân loại lệch khỏi kỳ vọng này. Chúng tôi đề xuất hai cách diễn giải không loại trừ lẫn nhau: thứ nhất, trong bối cảnh tập thể ảnh hưởng Nho giáo, chuẩn mực giãi bày với bạn bè có thể nhấn mạnh điều tiết cảm xúc ("nhẫn") hơn là chia sẻ biểu cảm, làm suy giảm cơ chế đệm tìm kiếm hỗ trợ; thứ hai, giả thuyết co-rumination gợi ý rằng giãi bày thường xuyên với bạn bè có thể khuếch đại lo lắng theo vòng lặp thay vì tiêu tan, đặc biệt khi chuẩn mực cạnh tranh học thuật đang vận hành. Nghiên cứu trong tương lai sử dụng thăm dò định tính sâu về nội dung hỗ trợ bạn bè (thay vì tần suất) là cần thiết.</w:t>
      </w:r>
    </w:p>
    <w:p>
      <w:pPr>
        <w:spacing w:before="160" w:after="40"/>
      </w:pPr>
      <w:r>
        <w:rPr>
          <w:rFonts w:ascii="Times New Roman" w:hAnsi="Times New Roman"/>
          <w:b/>
          <w:sz w:val="24"/>
        </w:rPr>
        <w:t>4.5 Separation anxiety gender invariance — novel interpretation</w:t>
      </w:r>
    </w:p>
    <w:p>
      <w:pPr>
        <w:spacing w:after="80"/>
      </w:pPr>
      <w:r>
        <w:rPr>
          <w:rFonts w:ascii="Times New Roman" w:hAnsi="Times New Roman"/>
          <w:b/>
          <w:i/>
          <w:sz w:val="22"/>
        </w:rPr>
        <w:t>4.5 Bất biến giới của lo âu chia ly — diễn giải mới</w:t>
      </w:r>
    </w:p>
    <w:p>
      <w:pPr>
        <w:spacing w:after="60"/>
        <w:ind w:firstLine="283"/>
        <w:jc w:val="both"/>
      </w:pPr>
      <w:r>
        <w:rPr>
          <w:rFonts w:ascii="Times New Roman" w:hAnsi="Times New Roman"/>
          <w:sz w:val="24"/>
        </w:rPr>
        <w:t>The complete gender invariance for SAD (Female M = 24.76 vs Male M = 25.42; p = 0.620), against significant gender differences for GAD and SocAD, is the most theoretically distinctive finding of this study. We advance two non-mutually-exclusive explanations. First, cultural collectivism: Vietnamese family hierarchy creates uniform separation experiences across genders [Triandis 1995]. Under interdependent self-construal [Markus &amp; Kitayama 1991], attachment processes operate primarily within the family system, where gender role differentiation is less salient for separation specifically than for socially evaluative behaviour. Second, developmental timing: separation-individuation tasks are predominantly childhood-onset and predate the post-pubertal differentiation of gender-loaded social pressures [Blos 1979; Kroger 2007]. Pre-pubertal separation challenges are universal across genders, whereas post-pubertal social evaluation and academic performance pressures are gendered.</w:t>
      </w:r>
    </w:p>
    <w:p>
      <w:pPr>
        <w:spacing w:after="160"/>
        <w:ind w:firstLine="283"/>
        <w:jc w:val="both"/>
      </w:pPr>
      <w:r>
        <w:rPr>
          <w:rFonts w:ascii="Times New Roman" w:hAnsi="Times New Roman"/>
          <w:i/>
          <w:color w:val="404040"/>
          <w:sz w:val="22"/>
        </w:rPr>
        <w:t>Bất biến giới hoàn toàn của SAD (nữ M = 24,76 so với nam M = 25,42; p = 0,620), trái ngược với khác biệt giới có ý nghĩa của GAD và SocAD, là phát hiện mang tính khác biệt lý thuyết nổi bật nhất của nghiên cứu. Chúng tôi đưa ra hai cách giải thích không loại trừ lẫn nhau. Thứ nhất, văn hóa tập thể: thứ bậc gia đình Việt Nam tạo trải nghiệm chia ly đồng nhất giữa các giới. Dưới khái niệm bản thân phụ thuộc lẫn nhau, các quá trình gắn bó vận hành chủ yếu trong hệ thống gia đình, nơi sự phân hóa vai trò giới kém nổi bật hơn đối với chia ly so với hành vi mang tính đánh giá xã hội. Thứ hai, thời điểm phát triển: các nhiệm vụ chia ly – cá nhân hóa chủ yếu khởi phát từ thời thơ ấu và đi trước sự phân hóa giới của các áp lực xã hội sau dậy thì (Blos 1979; Kroger 2007). Các thách thức chia ly tiền dậy thì phổ quát giữa các giới, trong khi áp lực đánh giá xã hội và thành tích học tập sau dậy thì mang tính giới.</w:t>
      </w:r>
    </w:p>
    <w:p>
      <w:pPr>
        <w:spacing w:before="160" w:after="40"/>
      </w:pPr>
      <w:r>
        <w:rPr>
          <w:rFonts w:ascii="Times New Roman" w:hAnsi="Times New Roman"/>
          <w:b/>
          <w:sz w:val="24"/>
        </w:rPr>
        <w:t>4.6 Clinical and educational implications</w:t>
      </w:r>
    </w:p>
    <w:p>
      <w:pPr>
        <w:spacing w:after="80"/>
      </w:pPr>
      <w:r>
        <w:rPr>
          <w:rFonts w:ascii="Times New Roman" w:hAnsi="Times New Roman"/>
          <w:b/>
          <w:i/>
          <w:sz w:val="22"/>
        </w:rPr>
        <w:t>4.6 Hàm ý lâm sàng và giáo dục</w:t>
      </w:r>
    </w:p>
    <w:p>
      <w:pPr>
        <w:spacing w:after="60"/>
        <w:ind w:firstLine="283"/>
        <w:jc w:val="both"/>
      </w:pPr>
      <w:r>
        <w:rPr>
          <w:rFonts w:ascii="Times New Roman" w:hAnsi="Times New Roman"/>
          <w:sz w:val="24"/>
        </w:rPr>
        <w:t>Three implications follow. First, a tiered prevention architecture is warranted: universal classroom-based intervention for risk-factor reduction (academic pressure management, anti-bullying programmes, smartphone-use boundaries) plus targeted self-esteem-building modules for high-anxiety students. Second, gender-aware delivery is appropriate for GAD and SocAD modules but unnecessary for SAD content — a calibration that may improve cost-efficiency. Third, anti-bullying programmes should explicitly incorporate separation-anxiety screening, given the dominant bullying → SAD pathway documented here.</w:t>
      </w:r>
    </w:p>
    <w:p>
      <w:pPr>
        <w:spacing w:after="160"/>
        <w:ind w:firstLine="283"/>
        <w:jc w:val="both"/>
      </w:pPr>
      <w:r>
        <w:rPr>
          <w:rFonts w:ascii="Times New Roman" w:hAnsi="Times New Roman"/>
          <w:i/>
          <w:color w:val="404040"/>
          <w:sz w:val="22"/>
        </w:rPr>
        <w:t>Ba hàm ý sau đây. Thứ nhất, một kiến trúc phòng ngừa phân tầng là cần thiết: can thiệp dựa trên lớp học phổ quát để giảm yếu tố nguy cơ (quản lý áp lực học tập, chương trình chống bắt nạt, ranh giới sử dụng điện thoại) kết hợp với module xây dựng tự trọng cho học sinh có mức lo âu cao. Thứ hai, triển khai nhạy với giới phù hợp cho module GAD và SocAD nhưng không cần thiết cho nội dung SAD — một sự hiệu chỉnh có thể cải thiện hiệu suất chi phí. Thứ ba, chương trình chống bắt nạt cần tích hợp sàng lọc lo âu chia ly một cách rõ ràng, do đường dẫn bắt nạt → SAD chiếm ưu thế được ghi nhận tại đây.</w:t>
      </w:r>
    </w:p>
    <w:p>
      <w:pPr>
        <w:spacing w:before="160" w:after="40"/>
      </w:pPr>
      <w:r>
        <w:rPr>
          <w:rFonts w:ascii="Times New Roman" w:hAnsi="Times New Roman"/>
          <w:b/>
          <w:sz w:val="24"/>
        </w:rPr>
        <w:t>4.7 Limitations and future directions</w:t>
      </w:r>
    </w:p>
    <w:p>
      <w:pPr>
        <w:spacing w:after="80"/>
      </w:pPr>
      <w:r>
        <w:rPr>
          <w:rFonts w:ascii="Times New Roman" w:hAnsi="Times New Roman"/>
          <w:b/>
          <w:i/>
          <w:sz w:val="22"/>
        </w:rPr>
        <w:t>4.7 Hạn chế và hướng nghiên cứu tương lai</w:t>
      </w:r>
    </w:p>
    <w:p>
      <w:pPr>
        <w:spacing w:after="60"/>
        <w:ind w:firstLine="283"/>
        <w:jc w:val="both"/>
      </w:pPr>
      <w:r>
        <w:rPr>
          <w:rFonts w:ascii="Times New Roman" w:hAnsi="Times New Roman"/>
          <w:sz w:val="24"/>
        </w:rPr>
        <w:t>Several limitations bound the present findings. (1) The cross-sectional design precludes causal inference; a longitudinal cohort following the same students from Grade 6 to Grade 9 would permit temporal ordering of risk-protective and anxiety pathways. (2) The sample is drawn from two Hanoi schools and may not generalise to rural or southern Vietnamese contexts; multi-site replication is needed. (3) Self-report measures of bullying and anxiety carry known shared-method variance risk; future studies should integrate peer-nomination bullying measures and clinical diagnostic anxiety interviews. (4) The qualitative sub-sample size and intercoder reliability pending NCS confirmation (Section 2.3). (5) Future randomised controlled trials should test the eight-module school-based prevention curriculum ("Khung Chương trình"; abbreviated Khung CT) derived from these mechanistic findings, ideally with the OurFutures Mental Health Australia template adapted for the Vietnamese context [Grummitt et al. 2025].</w:t>
      </w:r>
    </w:p>
    <w:p>
      <w:pPr>
        <w:spacing w:after="160"/>
        <w:ind w:firstLine="283"/>
        <w:jc w:val="both"/>
      </w:pPr>
      <w:r>
        <w:rPr>
          <w:rFonts w:ascii="Times New Roman" w:hAnsi="Times New Roman"/>
          <w:i/>
          <w:color w:val="404040"/>
          <w:sz w:val="22"/>
        </w:rPr>
        <w:t>Một số hạn chế giới hạn các phát hiện hiện tại. (1) Thiết kế cắt ngang loại trừ suy luận nhân quả; một đoàn hệ dọc theo dõi cùng học sinh từ khối 6 đến khối 9 sẽ cho phép sắp xếp thời gian của các đường dẫn nguy cơ – bảo vệ và lo âu. (2) Mẫu lấy từ hai trường ở Hà Nội và có thể không khái quát hóa cho bối cảnh nông thôn hoặc miền Nam Việt Nam; cần nhân rộng đa địa điểm. (3) Các đo lường tự báo cáo về bắt nạt và lo âu mang rủi ro phương sai phương pháp chia sẻ; nghiên cứu tương lai cần tích hợp đo lường bắt nạt theo đề cử bạn bè và phỏng vấn chẩn đoán lâm sàng về lo âu. (4) Cỡ mẫu phụ định tính và độ tin cậy intercoder đang chờ NCS xác nhận (Mục 2.3). (5) Các thử nghiệm ngẫu nhiên có đối chứng trong tương lai cần kiểm định chương trình giảng dạy phòng ngừa 8 nội dung Khung CT rút ra từ các phát hiện cơ chế này, lý tưởng nhất với mô hình OurFutures Mental Health Úc được điều chỉnh cho bối cảnh Việt Nam.</w:t>
      </w:r>
    </w:p>
    <w:p>
      <w:r>
        <w:br w:type="page"/>
      </w:r>
    </w:p>
    <w:p>
      <w:pPr>
        <w:spacing w:before="280" w:after="60"/>
      </w:pPr>
      <w:r>
        <w:rPr>
          <w:rFonts w:ascii="Times New Roman" w:hAnsi="Times New Roman"/>
          <w:b/>
          <w:color w:val="2E74B5"/>
          <w:sz w:val="26"/>
        </w:rPr>
        <w:t>5. REFERENCES (selected verified citations)</w:t>
      </w:r>
    </w:p>
    <w:p>
      <w:pPr>
        <w:spacing w:after="120"/>
      </w:pPr>
      <w:r>
        <w:rPr>
          <w:rFonts w:ascii="Times New Roman" w:hAnsi="Times New Roman"/>
          <w:b/>
          <w:i/>
          <w:color w:val="2E74B5"/>
          <w:sz w:val="24"/>
        </w:rPr>
        <w:t>5. TÀI LIỆU THAM KHẢO (trích dẫn đã verify)</w:t>
      </w:r>
    </w:p>
    <w:p>
      <w:pPr>
        <w:spacing w:after="80"/>
        <w:ind w:left="283" w:hanging="283"/>
      </w:pPr>
      <w:r>
        <w:rPr>
          <w:rFonts w:ascii="Times New Roman" w:hAnsi="Times New Roman"/>
          <w:sz w:val="22"/>
        </w:rPr>
        <w:t>American Psychiatric Association. (2013). Diagnostic and Statistical Manual of Mental Disorders (5th ed.). Arlington, VA: APA Publishing.</w:t>
      </w:r>
    </w:p>
    <w:p>
      <w:pPr>
        <w:spacing w:after="80"/>
        <w:ind w:left="283" w:hanging="283"/>
      </w:pPr>
      <w:r>
        <w:rPr>
          <w:rFonts w:ascii="Times New Roman" w:hAnsi="Times New Roman"/>
          <w:sz w:val="22"/>
        </w:rPr>
        <w:t>Anderson, E. M., et al. (2025). Narrative review of adolescent anxiety in low- and middle-income contexts.</w:t>
      </w:r>
    </w:p>
    <w:p>
      <w:pPr>
        <w:spacing w:after="80"/>
        <w:ind w:left="283" w:hanging="283"/>
      </w:pPr>
      <w:r>
        <w:rPr>
          <w:rFonts w:ascii="Times New Roman" w:hAnsi="Times New Roman"/>
          <w:sz w:val="22"/>
        </w:rPr>
        <w:t>Blos, P. (1979). The adolescent passage: Developmental issues. New York: International Universities Press.</w:t>
      </w:r>
    </w:p>
    <w:p>
      <w:pPr>
        <w:spacing w:after="80"/>
        <w:ind w:left="283" w:hanging="283"/>
      </w:pPr>
      <w:r>
        <w:rPr>
          <w:rFonts w:ascii="Times New Roman" w:hAnsi="Times New Roman"/>
          <w:sz w:val="22"/>
        </w:rPr>
        <w:t>Bowlby, J. (1988). A secure base: Parent-child attachment and healthy human development. New York: Basic Books.</w:t>
      </w:r>
    </w:p>
    <w:p>
      <w:pPr>
        <w:spacing w:after="80"/>
        <w:ind w:left="283" w:hanging="283"/>
      </w:pPr>
      <w:r>
        <w:rPr>
          <w:rFonts w:ascii="Times New Roman" w:hAnsi="Times New Roman"/>
          <w:sz w:val="22"/>
        </w:rPr>
        <w:t>Braun, V., &amp; Clarke, V. (2006). Using thematic analysis in psychology. Qualitative Research in Psychology, 3(2), 77–101.</w:t>
      </w:r>
    </w:p>
    <w:p>
      <w:pPr>
        <w:spacing w:after="80"/>
        <w:ind w:left="283" w:hanging="283"/>
      </w:pPr>
      <w:r>
        <w:rPr>
          <w:rFonts w:ascii="Times New Roman" w:hAnsi="Times New Roman"/>
          <w:sz w:val="22"/>
        </w:rPr>
        <w:t>Cheung, G. W., &amp; Rensvold, R. B. (2002). Evaluating goodness-of-fit indexes for testing measurement invariance.</w:t>
      </w:r>
    </w:p>
    <w:p>
      <w:pPr>
        <w:spacing w:after="80"/>
        <w:ind w:left="283" w:hanging="283"/>
      </w:pPr>
      <w:r>
        <w:rPr>
          <w:rFonts w:ascii="Times New Roman" w:hAnsi="Times New Roman"/>
          <w:sz w:val="22"/>
        </w:rPr>
        <w:t>Chen, Z., Ren, S., He, R., et al. (2023). Prevalence and associated factors of depressive and anxiety symptoms among Chinese secondary school students. BMC Psychiatry, 23(1), 580.</w:t>
      </w:r>
    </w:p>
    <w:p>
      <w:pPr>
        <w:spacing w:after="80"/>
        <w:ind w:left="283" w:hanging="283"/>
      </w:pPr>
      <w:r>
        <w:rPr>
          <w:rFonts w:ascii="Times New Roman" w:hAnsi="Times New Roman"/>
          <w:sz w:val="22"/>
        </w:rPr>
        <w:t>Chorpita, B. F. (2000). RCADS: Revised Children's Anxiety and Depression Scale.</w:t>
      </w:r>
    </w:p>
    <w:p>
      <w:pPr>
        <w:spacing w:after="80"/>
        <w:ind w:left="283" w:hanging="283"/>
      </w:pPr>
      <w:r>
        <w:rPr>
          <w:rFonts w:ascii="Times New Roman" w:hAnsi="Times New Roman"/>
          <w:sz w:val="22"/>
        </w:rPr>
        <w:t>Compas, B. E., Jaser, S. S., Bettis, A. H., et al. (2017). Coping, emotion regulation, and psychopathology in childhood and adolescence: A meta-analysis and narrative review. Psychological Bulletin, 143(9), 939–991.</w:t>
      </w:r>
    </w:p>
    <w:p>
      <w:pPr>
        <w:spacing w:after="80"/>
        <w:ind w:left="283" w:hanging="283"/>
      </w:pPr>
      <w:r>
        <w:rPr>
          <w:rFonts w:ascii="Times New Roman" w:hAnsi="Times New Roman"/>
          <w:sz w:val="22"/>
        </w:rPr>
        <w:t>Creswell, J. W., &amp; Plano Clark, V. L. (2018). Designing and conducting mixed methods research (3rd ed.).</w:t>
      </w:r>
    </w:p>
    <w:p>
      <w:pPr>
        <w:spacing w:after="80"/>
        <w:ind w:left="283" w:hanging="283"/>
      </w:pPr>
      <w:r>
        <w:rPr>
          <w:rFonts w:ascii="Times New Roman" w:hAnsi="Times New Roman"/>
          <w:sz w:val="22"/>
        </w:rPr>
        <w:t>Goodenow, C. (1993). PSSM: Psychological Sense of School Membership.</w:t>
      </w:r>
    </w:p>
    <w:p>
      <w:pPr>
        <w:spacing w:after="80"/>
        <w:ind w:left="283" w:hanging="283"/>
      </w:pPr>
      <w:r>
        <w:rPr>
          <w:rFonts w:ascii="Times New Roman" w:hAnsi="Times New Roman"/>
          <w:sz w:val="22"/>
        </w:rPr>
        <w:t>Grummitt, L., O'Dean, S., Birrell, L., et al. (2025). Efficacy of a school-based, universal prevention programme for depression and anxiety in adolescents (OurFutures Mental Health). eClinicalMedicine.</w:t>
      </w:r>
    </w:p>
    <w:p>
      <w:pPr>
        <w:spacing w:after="80"/>
        <w:ind w:left="283" w:hanging="283"/>
      </w:pPr>
      <w:r>
        <w:rPr>
          <w:rFonts w:ascii="Times New Roman" w:hAnsi="Times New Roman"/>
          <w:sz w:val="22"/>
        </w:rPr>
        <w:t>Hoang Trung Hoc. (2025). Tỷ lệ rối loạn lo âu ở học sinh Việt Nam (N = 8.389 analytic).</w:t>
      </w:r>
    </w:p>
    <w:p>
      <w:pPr>
        <w:spacing w:after="80"/>
        <w:ind w:left="283" w:hanging="283"/>
      </w:pPr>
      <w:r>
        <w:rPr>
          <w:rFonts w:ascii="Times New Roman" w:hAnsi="Times New Roman"/>
          <w:sz w:val="22"/>
        </w:rPr>
        <w:t>GBD ASEAN. (2025). Burden of mental disorders in ASEAN children and adolescents: Global Burden of Disease analysis 1990–2021. Lancet Regional Health – Western Pacific.</w:t>
      </w:r>
    </w:p>
    <w:p>
      <w:pPr>
        <w:spacing w:after="80"/>
        <w:ind w:left="283" w:hanging="283"/>
      </w:pPr>
      <w:r>
        <w:rPr>
          <w:rFonts w:ascii="Times New Roman" w:hAnsi="Times New Roman"/>
          <w:sz w:val="22"/>
        </w:rPr>
        <w:t>Hu, L., &amp; Bentler, P. M. (1999). Cutoff criteria for fit indexes in covariance structure analysis.</w:t>
      </w:r>
    </w:p>
    <w:p>
      <w:pPr>
        <w:spacing w:after="80"/>
        <w:ind w:left="283" w:hanging="283"/>
      </w:pPr>
      <w:r>
        <w:rPr>
          <w:rFonts w:ascii="Times New Roman" w:hAnsi="Times New Roman"/>
          <w:sz w:val="22"/>
        </w:rPr>
        <w:t>Kieling, C., Buchweitz, C., Caye, A., et al. (2024). Worldwide prevalence and disability from mental disorders across childhood and adolescence: Evidence from the Global Burden of Disease Study. JAMA Psychiatry, 81(4), 347–356.</w:t>
      </w:r>
    </w:p>
    <w:p>
      <w:pPr>
        <w:spacing w:after="80"/>
        <w:ind w:left="283" w:hanging="283"/>
      </w:pPr>
      <w:r>
        <w:rPr>
          <w:rFonts w:ascii="Times New Roman" w:hAnsi="Times New Roman"/>
          <w:sz w:val="22"/>
        </w:rPr>
        <w:t>Kroger, J. (2007). Identity development: Adolescence through adulthood (2nd ed.). Thousand Oaks, CA: Sage.</w:t>
      </w:r>
    </w:p>
    <w:p>
      <w:pPr>
        <w:spacing w:after="80"/>
        <w:ind w:left="283" w:hanging="283"/>
      </w:pPr>
      <w:r>
        <w:rPr>
          <w:rFonts w:ascii="Times New Roman" w:hAnsi="Times New Roman"/>
          <w:sz w:val="22"/>
        </w:rPr>
        <w:t>Kwon, M., Lee, J. Y., Won, W. Y., et al. (2013). SAS-SV: Smartphone Addiction Scale–Short Version.</w:t>
      </w:r>
    </w:p>
    <w:p>
      <w:pPr>
        <w:spacing w:after="80"/>
        <w:ind w:left="283" w:hanging="283"/>
      </w:pPr>
      <w:r>
        <w:rPr>
          <w:rFonts w:ascii="Times New Roman" w:hAnsi="Times New Roman"/>
          <w:sz w:val="22"/>
        </w:rPr>
        <w:t>Lazarus, R. S., &amp; Folkman, S. (1984). Stress, appraisal, and coping.</w:t>
      </w:r>
    </w:p>
    <w:p>
      <w:pPr>
        <w:spacing w:after="80"/>
        <w:ind w:left="283" w:hanging="283"/>
      </w:pPr>
      <w:r>
        <w:rPr>
          <w:rFonts w:ascii="Times New Roman" w:hAnsi="Times New Roman"/>
          <w:sz w:val="22"/>
        </w:rPr>
        <w:t>Markus, H. R., &amp; Kitayama, S. (1991). Culture and the self: Implications for cognition, emotion, and motivation.</w:t>
      </w:r>
    </w:p>
    <w:p>
      <w:pPr>
        <w:spacing w:after="80"/>
        <w:ind w:left="283" w:hanging="283"/>
      </w:pPr>
      <w:r>
        <w:rPr>
          <w:rFonts w:ascii="Times New Roman" w:hAnsi="Times New Roman"/>
          <w:sz w:val="22"/>
        </w:rPr>
        <w:t>McLean, C. P., et al. (2011). Gender differences in anxiety disorders: Prevalence, course of illness, comorbidity and burden of illness.</w:t>
      </w:r>
    </w:p>
    <w:p>
      <w:pPr>
        <w:spacing w:after="80"/>
        <w:ind w:left="283" w:hanging="283"/>
      </w:pPr>
      <w:r>
        <w:rPr>
          <w:rFonts w:ascii="Times New Roman" w:hAnsi="Times New Roman"/>
          <w:sz w:val="22"/>
        </w:rPr>
        <w:t>Niwenahisemo, L. C., Su, H., &amp; Kuang, L. (2024). Assessing anxiety symptom severity in Rwandese adolescents: Cross-gender measurement invariance of GAD-7. Frontiers in Psychiatry.</w:t>
      </w:r>
    </w:p>
    <w:p>
      <w:pPr>
        <w:spacing w:after="80"/>
        <w:ind w:left="283" w:hanging="283"/>
      </w:pPr>
      <w:r>
        <w:rPr>
          <w:rFonts w:ascii="Times New Roman" w:hAnsi="Times New Roman"/>
          <w:sz w:val="22"/>
        </w:rPr>
        <w:t>Olweus, D. (1996). OBVQ: Bully/Victim Questionnaire.</w:t>
      </w:r>
    </w:p>
    <w:p>
      <w:pPr>
        <w:spacing w:after="80"/>
        <w:ind w:left="283" w:hanging="283"/>
      </w:pPr>
      <w:r>
        <w:rPr>
          <w:rFonts w:ascii="Times New Roman" w:hAnsi="Times New Roman"/>
          <w:sz w:val="22"/>
        </w:rPr>
        <w:t>Pascoe, M. C., et al. (2020). The impact of stress on students in secondary school and higher education.</w:t>
      </w:r>
    </w:p>
    <w:p>
      <w:pPr>
        <w:spacing w:after="80"/>
        <w:ind w:left="283" w:hanging="283"/>
      </w:pPr>
      <w:r>
        <w:rPr>
          <w:rFonts w:ascii="Times New Roman" w:hAnsi="Times New Roman"/>
          <w:sz w:val="22"/>
        </w:rPr>
        <w:t>Robson, E. M., Husin, H. M., Dashti, S. G., et al. (2025). Tracking the course of depressive and anxiety symptoms across adolescence (the CATS study). Lancet Psychiatry, 12, 44–53.</w:t>
      </w:r>
    </w:p>
    <w:p>
      <w:pPr>
        <w:spacing w:after="80"/>
        <w:ind w:left="283" w:hanging="283"/>
      </w:pPr>
      <w:r>
        <w:rPr>
          <w:rFonts w:ascii="Times New Roman" w:hAnsi="Times New Roman"/>
          <w:sz w:val="22"/>
        </w:rPr>
        <w:t>Rosenberg, M. (1965). Rosenberg Self-Esteem Scale.</w:t>
      </w:r>
    </w:p>
    <w:p>
      <w:pPr>
        <w:spacing w:after="80"/>
        <w:ind w:left="283" w:hanging="283"/>
      </w:pPr>
      <w:r>
        <w:rPr>
          <w:rFonts w:ascii="Times New Roman" w:hAnsi="Times New Roman"/>
          <w:sz w:val="22"/>
        </w:rPr>
        <w:t>Saikia, S., et al. (2023). Prevalence and correlates of anxiety in Northeast Indian adolescents. Indian Journal of Community Medicine.</w:t>
      </w:r>
    </w:p>
    <w:p>
      <w:pPr>
        <w:spacing w:after="80"/>
        <w:ind w:left="283" w:hanging="283"/>
      </w:pPr>
      <w:r>
        <w:rPr>
          <w:rFonts w:ascii="Times New Roman" w:hAnsi="Times New Roman"/>
          <w:sz w:val="22"/>
        </w:rPr>
        <w:t>Steare, T., et al. (2023). The association between academic pressure and adolescent mental health: A systematic review.</w:t>
      </w:r>
    </w:p>
    <w:p>
      <w:pPr>
        <w:spacing w:after="80"/>
        <w:ind w:left="283" w:hanging="283"/>
      </w:pPr>
      <w:r>
        <w:rPr>
          <w:rFonts w:ascii="Times New Roman" w:hAnsi="Times New Roman"/>
          <w:sz w:val="22"/>
        </w:rPr>
        <w:t>Sun, J., Dunne, M. P., Hou, X. Y., &amp; Xu, A. (2011). ESSA: Educational Stress Scale for Adolescents.</w:t>
      </w:r>
    </w:p>
    <w:p>
      <w:pPr>
        <w:spacing w:after="80"/>
        <w:ind w:left="283" w:hanging="283"/>
      </w:pPr>
      <w:r>
        <w:rPr>
          <w:rFonts w:ascii="Times New Roman" w:hAnsi="Times New Roman"/>
          <w:sz w:val="22"/>
        </w:rPr>
        <w:t>Triandis, H. C. (1995). Individualism and collectivism.</w:t>
      </w:r>
    </w:p>
    <w:p>
      <w:pPr>
        <w:spacing w:after="80"/>
        <w:ind w:left="283" w:hanging="283"/>
      </w:pPr>
      <w:r>
        <w:rPr>
          <w:rFonts w:ascii="Times New Roman" w:hAnsi="Times New Roman"/>
          <w:sz w:val="22"/>
        </w:rPr>
        <w:t>V-NAMHS. (2022). Vietnam Adolescent Mental Health Survey main report.</w:t>
      </w:r>
    </w:p>
    <w:p>
      <w:pPr>
        <w:spacing w:after="80"/>
        <w:ind w:left="283" w:hanging="283"/>
      </w:pPr>
      <w:r>
        <w:rPr>
          <w:rFonts w:ascii="Times New Roman" w:hAnsi="Times New Roman"/>
          <w:sz w:val="22"/>
        </w:rPr>
        <w:t>Wen, F., et al. (2020). Mental health among Chinese rural adolescents.</w:t>
      </w:r>
    </w:p>
    <w:p>
      <w:pPr>
        <w:spacing w:after="80"/>
        <w:ind w:left="283" w:hanging="283"/>
      </w:pPr>
      <w:r>
        <w:rPr>
          <w:rFonts w:ascii="Times New Roman" w:hAnsi="Times New Roman"/>
          <w:sz w:val="22"/>
        </w:rPr>
        <w:t>Xu, J., et al. (2021). Prevalence of mental disorders among Chinese adolescents (N = 373,216).</w:t>
      </w:r>
    </w:p>
    <w:p>
      <w:pPr>
        <w:spacing w:after="80"/>
        <w:ind w:left="283" w:hanging="283"/>
      </w:pPr>
      <w:r>
        <w:rPr>
          <w:rFonts w:ascii="Times New Roman" w:hAnsi="Times New Roman"/>
          <w:sz w:val="22"/>
        </w:rPr>
        <w:t>Zimet, G. D., et al. (1988). MSPSS: Multidimensional Scale of Perceived Social Support.</w:t>
      </w:r>
    </w:p>
    <w:p>
      <w:pPr>
        <w:spacing w:before="280" w:after="60"/>
      </w:pPr>
      <w:r>
        <w:rPr>
          <w:rFonts w:ascii="Times New Roman" w:hAnsi="Times New Roman"/>
          <w:b/>
          <w:color w:val="2E74B5"/>
          <w:sz w:val="26"/>
        </w:rPr>
        <w:t>NOTES TO CO-AUTHORS — 4 BLOCKING ITEMS</w:t>
      </w:r>
    </w:p>
    <w:p>
      <w:pPr>
        <w:spacing w:after="120"/>
      </w:pPr>
      <w:r>
        <w:rPr>
          <w:rFonts w:ascii="Times New Roman" w:hAnsi="Times New Roman"/>
          <w:b/>
          <w:i/>
          <w:color w:val="2E74B5"/>
          <w:sz w:val="24"/>
        </w:rPr>
        <w:t>GHI CHÚ CHO ĐỒNG TÁC GIẢ — 4 MỤC CHỜ QUYẾT</w:t>
      </w:r>
    </w:p>
    <w:p>
      <w:pPr>
        <w:spacing w:after="120"/>
        <w:ind w:left="283"/>
      </w:pPr>
      <w:r>
        <w:rPr>
          <w:rFonts w:ascii="Times New Roman" w:hAnsi="Times New Roman"/>
          <w:b/>
          <w:color w:val="C00000"/>
          <w:sz w:val="22"/>
        </w:rPr>
        <w:t>⚠ [TBD — Q1-6 — Mixed-methods qualitative data (NCS): n participants, purposive sampling strategy, transcripts ready, intercoder Cohen κ]</w:t>
      </w:r>
    </w:p>
    <w:p>
      <w:pPr>
        <w:spacing w:after="120"/>
        <w:ind w:left="283"/>
      </w:pPr>
      <w:r>
        <w:rPr>
          <w:rFonts w:ascii="Times New Roman" w:hAnsi="Times New Roman"/>
          <w:b/>
          <w:i/>
          <w:color w:val="C00000"/>
          <w:sz w:val="22"/>
        </w:rPr>
        <w:t>⚠ [Chờ — Q1-6 — Dữ liệu định tính hỗn hợp (NCS): n người tham gia, chiến lược chọn mẫu có chủ đích, bản gỡ băng, Cohen κ]</w:t>
      </w:r>
    </w:p>
    <w:p>
      <w:pPr>
        <w:spacing w:after="120"/>
        <w:ind w:left="283"/>
      </w:pPr>
      <w:r>
        <w:rPr>
          <w:rFonts w:ascii="Times New Roman" w:hAnsi="Times New Roman"/>
          <w:b/>
          <w:color w:val="C00000"/>
          <w:sz w:val="22"/>
        </w:rPr>
        <w:t>⚠ [TBD — Q1-8 — Integrated SEM R² interpretation: present draft uses LA Bảng 47 composite R² = 0.598 (YTNC + YTBV → RLLA). Confirm if acceptable OR re-analyse 7×3 integrated SEM]</w:t>
      </w:r>
    </w:p>
    <w:p>
      <w:pPr>
        <w:spacing w:after="120"/>
        <w:ind w:left="283"/>
      </w:pPr>
      <w:r>
        <w:rPr>
          <w:rFonts w:ascii="Times New Roman" w:hAnsi="Times New Roman"/>
          <w:b/>
          <w:i/>
          <w:color w:val="C00000"/>
          <w:sz w:val="22"/>
        </w:rPr>
        <w:t>⚠ [Chờ — Q1-8 — Diễn giải R² SEM tích hợp: bản nháp hiện tại dùng R² tổng hợp = 0,598 (YTNC + YTBV → RLLA) từ LA Bảng 47. Xác nhận chấp nhận HOẶC tái phân tích SEM tích hợp 7×3]</w:t>
      </w:r>
    </w:p>
    <w:p>
      <w:pPr>
        <w:spacing w:after="120"/>
        <w:ind w:left="283"/>
      </w:pPr>
      <w:r>
        <w:rPr>
          <w:rFonts w:ascii="Times New Roman" w:hAnsi="Times New Roman"/>
          <w:b/>
          <w:color w:val="C00000"/>
          <w:sz w:val="22"/>
        </w:rPr>
        <w:t>⚠ [TBD — Q3-6 — IRB approval letter HNUE: decision number + date]</w:t>
      </w:r>
    </w:p>
    <w:p>
      <w:pPr>
        <w:spacing w:after="120"/>
        <w:ind w:left="283"/>
      </w:pPr>
      <w:r>
        <w:rPr>
          <w:rFonts w:ascii="Times New Roman" w:hAnsi="Times New Roman"/>
          <w:b/>
          <w:i/>
          <w:color w:val="C00000"/>
          <w:sz w:val="22"/>
        </w:rPr>
        <w:t>⚠ [Chờ — Q3-6 — Letter chấp thuận đạo đức HNUE: số quyết định + ngày]</w:t>
      </w:r>
    </w:p>
    <w:p>
      <w:pPr>
        <w:spacing w:after="120"/>
        <w:ind w:left="283"/>
      </w:pPr>
      <w:r>
        <w:rPr>
          <w:rFonts w:ascii="Times New Roman" w:hAnsi="Times New Roman"/>
          <w:b/>
          <w:color w:val="C00000"/>
          <w:sz w:val="22"/>
        </w:rPr>
        <w:t>⚠ [TBD — Q3-9 — Submission strategy Q1↔Q3: sequential (8-12 months) or parallel "companion paper"]</w:t>
      </w:r>
    </w:p>
    <w:p>
      <w:pPr>
        <w:spacing w:after="120"/>
        <w:ind w:left="283"/>
      </w:pPr>
      <w:r>
        <w:rPr>
          <w:rFonts w:ascii="Times New Roman" w:hAnsi="Times New Roman"/>
          <w:b/>
          <w:i/>
          <w:color w:val="C00000"/>
          <w:sz w:val="22"/>
        </w:rPr>
        <w:t>⚠ [Chờ — Q3-9 — Chiến lược submit Q1↔Q3: tuần tự (8-12 tháng) hay song song "companion paper"]</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