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Times New Roman" w:hAnsi="Times New Roman"/>
          <w:b/>
          <w:color w:val="C00000"/>
          <w:sz w:val="32"/>
        </w:rPr>
        <w:t>BÁO CÁO AUDIT CHI TIẾT</w:t>
      </w:r>
    </w:p>
    <w:p>
      <w:pPr>
        <w:spacing w:after="120"/>
        <w:jc w:val="both"/>
      </w:pPr>
      <w:r>
        <w:rPr>
          <w:rFonts w:ascii="Times New Roman" w:hAnsi="Times New Roman"/>
          <w:i/>
          <w:sz w:val="22"/>
        </w:rPr>
        <w:t>File audit: ThamKhao_Titles_Q1Q3_AsiaChauPhi_TiengViet_v2_01062026.docx</w:t>
      </w:r>
    </w:p>
    <w:p>
      <w:pPr>
        <w:spacing w:after="120"/>
        <w:jc w:val="both"/>
      </w:pPr>
      <w:r>
        <w:rPr>
          <w:rFonts w:ascii="Times New Roman" w:hAnsi="Times New Roman"/>
          <w:i/>
          <w:sz w:val="22"/>
        </w:rPr>
        <w:t>Phương pháp: kiểm tra từng từ, từng câu, từng paper bằng search web (PubMed/PMC + nature.com + frontiers + scimago + JCR)</w:t>
      </w:r>
    </w:p>
    <w:p>
      <w:pPr>
        <w:spacing w:after="120"/>
        <w:jc w:val="both"/>
      </w:pPr>
      <w:r>
        <w:rPr>
          <w:rFonts w:ascii="Times New Roman" w:hAnsi="Times New Roman"/>
          <w:i/>
          <w:sz w:val="22"/>
        </w:rPr>
        <w:t>Ngày soạn: 01/06/2026</w:t>
      </w:r>
    </w:p>
    <w:p>
      <w:pPr>
        <w:spacing w:before="360" w:after="200"/>
        <w:jc w:val="center"/>
      </w:pPr>
      <w:r>
        <w:rPr>
          <w:rFonts w:ascii="Times New Roman" w:hAnsi="Times New Roman"/>
          <w:b/>
          <w:color w:val="C00000"/>
          <w:sz w:val="32"/>
        </w:rPr>
        <w:t>TÓM TẮT PHẠM VI AUDIT</w:t>
      </w:r>
    </w:p>
    <w:p>
      <w:pPr>
        <w:spacing w:after="120"/>
        <w:ind w:firstLine="283"/>
        <w:jc w:val="both"/>
      </w:pPr>
      <w:r>
        <w:rPr>
          <w:rFonts w:ascii="Times New Roman" w:hAnsi="Times New Roman"/>
          <w:i w:val="0"/>
          <w:sz w:val="22"/>
        </w:rPr>
        <w:t>Em đã kiểm tra TỪNG entry trong file v2 — tổng cộng 33 paper references + 10 đề xuất tiêu đề + 4 dạng pattern Q1 + 3 dạng pattern Q3 + 10 chỉ số tạp chí. Quá trình audit phát hiện một số lỗi nghiêm trọng cần sửa trước khi gửi file cho đồng tác giả Nguyễn Minh Đức.</w:t>
      </w:r>
    </w:p>
    <w:p>
      <w:pPr>
        <w:spacing w:after="120"/>
        <w:ind w:firstLine="283"/>
        <w:jc w:val="both"/>
      </w:pPr>
      <w:r>
        <w:rPr>
          <w:rFonts w:ascii="Times New Roman" w:hAnsi="Times New Roman"/>
          <w:i w:val="0"/>
          <w:sz w:val="22"/>
        </w:rPr>
        <w:t>Báo cáo chia thành 3 loại lỗi: (1) LỖI VỀ TÁC GIẢ — em ghi sai tên tác giả đầu hoặc nhầm sample; (2) LỖI VỀ NĂM XUẤT BẢN — em ghi sai năm thực sự; (3) LỖI VỀ ĐỐI TƯỢNG NGHIÊN CỨU — paper không phải về thanh thiếu niên như em ghi.</w:t>
      </w:r>
    </w:p>
    <w:p>
      <w:pPr>
        <w:spacing w:before="360" w:after="200"/>
        <w:jc w:val="center"/>
      </w:pPr>
      <w:r>
        <w:rPr>
          <w:rFonts w:ascii="Times New Roman" w:hAnsi="Times New Roman"/>
          <w:b/>
          <w:color w:val="C00000"/>
          <w:sz w:val="32"/>
        </w:rPr>
        <w:t>1. LỖI VỀ TÁC GIẢ + SAMPLE — 3 paper</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835"/>
          </w:tcPr>
          <w:p>
            <w:r>
              <w:rPr>
                <w:b/>
                <w:sz w:val="20"/>
              </w:rPr>
              <w:t>Paper</w:t>
            </w:r>
          </w:p>
        </w:tc>
        <w:tc>
          <w:tcPr>
            <w:tcW w:type="dxa" w:w="2268"/>
          </w:tcPr>
          <w:p>
            <w:r>
              <w:rPr>
                <w:b/>
                <w:sz w:val="20"/>
              </w:rPr>
              <w:t>Em ghi (SAI)</w:t>
            </w:r>
          </w:p>
        </w:tc>
        <w:tc>
          <w:tcPr>
            <w:tcW w:type="dxa" w:w="3402"/>
          </w:tcPr>
          <w:p>
            <w:r>
              <w:rPr>
                <w:b/>
                <w:sz w:val="20"/>
              </w:rPr>
              <w:t>Đúng (sau verify)</w:t>
            </w:r>
          </w:p>
        </w:tc>
        <w:tc>
          <w:tcPr>
            <w:tcW w:type="dxa" w:w="1701"/>
          </w:tcPr>
          <w:p>
            <w:r>
              <w:rPr>
                <w:b/>
                <w:sz w:val="20"/>
              </w:rPr>
              <w:t>Nguồn</w:t>
            </w:r>
          </w:p>
        </w:tc>
      </w:tr>
      <w:tr>
        <w:tc>
          <w:tcPr>
            <w:tcW w:type="dxa" w:w="2835"/>
          </w:tcPr>
          <w:p>
            <w:r>
              <w:rPr>
                <w:sz w:val="20"/>
              </w:rPr>
              <w:t>Paper #1 — Risk factors of depressive and anxiety symptoms in Chinese adolescents</w:t>
            </w:r>
          </w:p>
        </w:tc>
        <w:tc>
          <w:tcPr>
            <w:tcW w:type="dxa" w:w="2268"/>
          </w:tcPr>
          <w:p>
            <w:r>
              <w:rPr>
                <w:sz w:val="20"/>
              </w:rPr>
              <w:t>Em ghi: "Wang và cộng sự — Trung Quốc"</w:t>
            </w:r>
          </w:p>
        </w:tc>
        <w:tc>
          <w:tcPr>
            <w:tcW w:type="dxa" w:w="3402"/>
          </w:tcPr>
          <w:p>
            <w:r>
              <w:rPr>
                <w:sz w:val="20"/>
              </w:rPr>
              <w:t>Đúng: **Juan J, Li J, Wang X et al.** — Wang chỉ là tác giả thứ 3, không phải đầu. Title gốc còn có "...in Chinese adolescent GIRLS" — em ghi sót "girls" (mẫu chỉ là nữ giới)</w:t>
            </w:r>
          </w:p>
        </w:tc>
        <w:tc>
          <w:tcPr>
            <w:tcW w:type="dxa" w:w="1701"/>
          </w:tcPr>
          <w:p>
            <w:r>
              <w:rPr>
                <w:sz w:val="20"/>
              </w:rPr>
              <w:t>Scientific Reports 2025; DOI: 10.1038/s41598-025-16396-5</w:t>
            </w:r>
          </w:p>
        </w:tc>
      </w:tr>
      <w:tr>
        <w:tc>
          <w:tcPr>
            <w:tcW w:type="dxa" w:w="2835"/>
          </w:tcPr>
          <w:p>
            <w:r>
              <w:rPr>
                <w:sz w:val="20"/>
              </w:rPr>
              <w:t>Paper #17 — Rwandese GAD-7 measurement invariance</w:t>
            </w:r>
          </w:p>
        </w:tc>
        <w:tc>
          <w:tcPr>
            <w:tcW w:type="dxa" w:w="2268"/>
          </w:tcPr>
          <w:p>
            <w:r>
              <w:rPr>
                <w:sz w:val="20"/>
              </w:rPr>
              <w:t>Em ghi: "Tác giả Trung Quốc (lab Rwanda)"</w:t>
            </w:r>
          </w:p>
        </w:tc>
        <w:tc>
          <w:tcPr>
            <w:tcW w:type="dxa" w:w="3402"/>
          </w:tcPr>
          <w:p>
            <w:r>
              <w:rPr>
                <w:sz w:val="20"/>
              </w:rPr>
              <w:t>Đúng: **Lisa Cynthia Niwenahisemo, Su Hong, Li Kuang** (từ Chongqing Medical University, study trên 1,813 HS Kigali, Rwanda). Em ghi "lab Rwanda" không chuẩn xác — họ là Chinese researchers nghiên cứu mẫu Rwanda</w:t>
            </w:r>
          </w:p>
        </w:tc>
        <w:tc>
          <w:tcPr>
            <w:tcW w:type="dxa" w:w="1701"/>
          </w:tcPr>
          <w:p>
            <w:r>
              <w:rPr>
                <w:sz w:val="20"/>
              </w:rPr>
              <w:t>Frontiers in Psychiatry 2024; DOI: 10.3389/fpsyt.2024.1346267</w:t>
            </w:r>
          </w:p>
        </w:tc>
      </w:tr>
      <w:tr>
        <w:tc>
          <w:tcPr>
            <w:tcW w:type="dxa" w:w="2835"/>
          </w:tcPr>
          <w:p>
            <w:r>
              <w:rPr>
                <w:sz w:val="20"/>
              </w:rPr>
              <w:t>Paper #9 — Hanoi Vietnam internet addiction</w:t>
            </w:r>
          </w:p>
        </w:tc>
        <w:tc>
          <w:tcPr>
            <w:tcW w:type="dxa" w:w="2268"/>
          </w:tcPr>
          <w:p>
            <w:r>
              <w:rPr>
                <w:sz w:val="20"/>
              </w:rPr>
              <w:t>Em ghi: "Tác giả Việt Nam (Hà Nội)" + "PMC</w:t>
              <w:br/>
              <w:t>2023"</w:t>
            </w:r>
          </w:p>
        </w:tc>
        <w:tc>
          <w:tcPr>
            <w:tcW w:type="dxa" w:w="3402"/>
          </w:tcPr>
          <w:p>
            <w:r>
              <w:rPr>
                <w:sz w:val="20"/>
              </w:rPr>
              <w:t>Đúng: **Tran Minh Dien, Pham Thi Lan Chi, Pham Quang Duy, Le Ha Anh, Nguyen Thi Kim Ngan, Vu Thi Hoang Lan**. n=5,325 HS THCS Hà Nội. Journal cụ thể là **BMC Public Health** (em ghi chung "PMC")</w:t>
            </w:r>
          </w:p>
        </w:tc>
        <w:tc>
          <w:tcPr>
            <w:tcW w:type="dxa" w:w="1701"/>
          </w:tcPr>
          <w:p>
            <w:r>
              <w:rPr>
                <w:sz w:val="20"/>
              </w:rPr>
              <w:t>BMC Public Health 2023; DOI: 10.1186/s12889-023-17348-2</w:t>
            </w:r>
          </w:p>
        </w:tc>
      </w:tr>
    </w:tbl>
    <w:p>
      <w:pPr>
        <w:spacing w:before="360" w:after="200"/>
        <w:jc w:val="center"/>
      </w:pPr>
      <w:r>
        <w:rPr>
          <w:rFonts w:ascii="Times New Roman" w:hAnsi="Times New Roman"/>
          <w:b/>
          <w:color w:val="C00000"/>
          <w:sz w:val="32"/>
        </w:rPr>
        <w:t>2. LỖI VỀ NĂM XUẤT BẢN — 2 paper</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835"/>
          </w:tcPr>
          <w:p>
            <w:r>
              <w:rPr>
                <w:b/>
                <w:sz w:val="20"/>
              </w:rPr>
              <w:t>Paper</w:t>
            </w:r>
          </w:p>
        </w:tc>
        <w:tc>
          <w:tcPr>
            <w:tcW w:type="dxa" w:w="1701"/>
          </w:tcPr>
          <w:p>
            <w:r>
              <w:rPr>
                <w:b/>
                <w:sz w:val="20"/>
              </w:rPr>
              <w:t>Em ghi (SAI)</w:t>
            </w:r>
          </w:p>
        </w:tc>
        <w:tc>
          <w:tcPr>
            <w:tcW w:type="dxa" w:w="3402"/>
          </w:tcPr>
          <w:p>
            <w:r>
              <w:rPr>
                <w:b/>
                <w:sz w:val="20"/>
              </w:rPr>
              <w:t>Đúng (sau verify)</w:t>
            </w:r>
          </w:p>
        </w:tc>
        <w:tc>
          <w:tcPr>
            <w:tcW w:type="dxa" w:w="2268"/>
          </w:tcPr>
          <w:p>
            <w:r>
              <w:rPr>
                <w:b/>
                <w:sz w:val="20"/>
              </w:rPr>
              <w:t>Nguồn</w:t>
            </w:r>
          </w:p>
        </w:tc>
      </w:tr>
      <w:tr>
        <w:tc>
          <w:tcPr>
            <w:tcW w:type="dxa" w:w="2835"/>
          </w:tcPr>
          <w:p>
            <w:r>
              <w:rPr>
                <w:sz w:val="20"/>
              </w:rPr>
              <w:t>Paper #13 — Ethiopia non-recursive SEM</w:t>
            </w:r>
          </w:p>
        </w:tc>
        <w:tc>
          <w:tcPr>
            <w:tcW w:type="dxa" w:w="1701"/>
          </w:tcPr>
          <w:p>
            <w:r>
              <w:rPr>
                <w:sz w:val="20"/>
              </w:rPr>
              <w:t>Em ghi: 2023</w:t>
            </w:r>
          </w:p>
        </w:tc>
        <w:tc>
          <w:tcPr>
            <w:tcW w:type="dxa" w:w="3402"/>
          </w:tcPr>
          <w:p>
            <w:r>
              <w:rPr>
                <w:sz w:val="20"/>
              </w:rPr>
              <w:t>Đúng: **2024** (10/04/2024). Em nhầm với năm submit (2/2023) — paper thực sự published April 2024</w:t>
            </w:r>
          </w:p>
        </w:tc>
        <w:tc>
          <w:tcPr>
            <w:tcW w:type="dxa" w:w="2268"/>
          </w:tcPr>
          <w:p>
            <w:r>
              <w:rPr>
                <w:sz w:val="20"/>
              </w:rPr>
              <w:t>PLOS ONE 2024; DOI: 10.1371/journal.pone.0281571</w:t>
            </w:r>
          </w:p>
        </w:tc>
      </w:tr>
      <w:tr>
        <w:tc>
          <w:tcPr>
            <w:tcW w:type="dxa" w:w="2835"/>
          </w:tcPr>
          <w:p>
            <w:r>
              <w:rPr>
                <w:sz w:val="20"/>
              </w:rPr>
              <w:t>Paper #6 — Personality traits Chinese adolescents Frontiers Psychology</w:t>
            </w:r>
          </w:p>
        </w:tc>
        <w:tc>
          <w:tcPr>
            <w:tcW w:type="dxa" w:w="1701"/>
          </w:tcPr>
          <w:p>
            <w:r>
              <w:rPr>
                <w:sz w:val="20"/>
              </w:rPr>
              <w:t>Em ghi: 2025</w:t>
            </w:r>
          </w:p>
        </w:tc>
        <w:tc>
          <w:tcPr>
            <w:tcW w:type="dxa" w:w="3402"/>
          </w:tcPr>
          <w:p>
            <w:r>
              <w:rPr>
                <w:sz w:val="20"/>
              </w:rPr>
              <w:t>Đúng: **2026** (16/01/2026). Paper đã DOI 2025 nhưng published year là 2026</w:t>
            </w:r>
          </w:p>
        </w:tc>
        <w:tc>
          <w:tcPr>
            <w:tcW w:type="dxa" w:w="2268"/>
          </w:tcPr>
          <w:p>
            <w:r>
              <w:rPr>
                <w:sz w:val="20"/>
              </w:rPr>
              <w:t>Frontiers in Psychology 2026; DOI: 10.3389/fpsyg.2025.1748370</w:t>
            </w:r>
          </w:p>
        </w:tc>
      </w:tr>
    </w:tbl>
    <w:p>
      <w:pPr>
        <w:spacing w:before="360" w:after="200"/>
        <w:jc w:val="center"/>
      </w:pPr>
      <w:r>
        <w:rPr>
          <w:rFonts w:ascii="Times New Roman" w:hAnsi="Times New Roman"/>
          <w:b/>
          <w:color w:val="C00000"/>
          <w:sz w:val="32"/>
        </w:rPr>
        <w:t>3. LỖI VỀ ĐỐI TƯỢNG NGHIÊN CỨU — 1 paper</w:t>
      </w:r>
    </w:p>
    <w:p>
      <w:pPr>
        <w:spacing w:after="120"/>
        <w:ind w:left="283"/>
      </w:pPr>
      <w:r>
        <w:rPr>
          <w:rFonts w:ascii="Times New Roman" w:hAnsi="Times New Roman"/>
          <w:b/>
          <w:color w:val="C00000"/>
          <w:sz w:val="22"/>
        </w:rPr>
        <w:t>⚠ NGHIÊM TRỌNG: Paper #7 không phải về thanh thiếu niên — em đã đưa nhầm vào danh sách paper adolescent.</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835"/>
          </w:tcPr>
          <w:p>
            <w:r>
              <w:rPr>
                <w:b/>
                <w:sz w:val="20"/>
              </w:rPr>
              <w:t>Paper</w:t>
            </w:r>
          </w:p>
        </w:tc>
        <w:tc>
          <w:tcPr>
            <w:tcW w:type="dxa" w:w="2268"/>
          </w:tcPr>
          <w:p>
            <w:r>
              <w:rPr>
                <w:b/>
                <w:sz w:val="20"/>
              </w:rPr>
              <w:t>Em ghi (SAI)</w:t>
            </w:r>
          </w:p>
        </w:tc>
        <w:tc>
          <w:tcPr>
            <w:tcW w:type="dxa" w:w="3402"/>
          </w:tcPr>
          <w:p>
            <w:r>
              <w:rPr>
                <w:b/>
                <w:sz w:val="20"/>
              </w:rPr>
              <w:t>Đúng (sau verify)</w:t>
            </w:r>
          </w:p>
        </w:tc>
        <w:tc>
          <w:tcPr>
            <w:tcW w:type="dxa" w:w="1701"/>
          </w:tcPr>
          <w:p>
            <w:r>
              <w:rPr>
                <w:b/>
                <w:sz w:val="20"/>
              </w:rPr>
              <w:t>Nguồn</w:t>
            </w:r>
          </w:p>
        </w:tc>
      </w:tr>
      <w:tr>
        <w:tc>
          <w:tcPr>
            <w:tcW w:type="dxa" w:w="2835"/>
          </w:tcPr>
          <w:p>
            <w:r>
              <w:rPr>
                <w:sz w:val="20"/>
              </w:rPr>
              <w:t>Paper #7 — Social support and anxiety moderated mediating model</w:t>
            </w:r>
          </w:p>
        </w:tc>
        <w:tc>
          <w:tcPr>
            <w:tcW w:type="dxa" w:w="2268"/>
          </w:tcPr>
          <w:p>
            <w:r>
              <w:rPr>
                <w:sz w:val="20"/>
              </w:rPr>
              <w:t>Em ghi: dùng làm ví dụ Q1 cho "thanh thiếu niên"</w:t>
            </w:r>
          </w:p>
        </w:tc>
        <w:tc>
          <w:tcPr>
            <w:tcW w:type="dxa" w:w="3402"/>
          </w:tcPr>
          <w:p>
            <w:r>
              <w:rPr>
                <w:sz w:val="20"/>
              </w:rPr>
              <w:t>Đúng: Mẫu là **1,097 SINH VIÊN ĐẠI HỌC** từ Hồ Nam (Hunan), Trung Quốc — KHÔNG phải adolescent (thanh thiếu niên). Em đã đưa nhầm vào danh sách paper về adolescent → nhóm sẽ hiểu sai về nhóm mẫu nếu dùng làm tham khảo</w:t>
            </w:r>
          </w:p>
        </w:tc>
        <w:tc>
          <w:tcPr>
            <w:tcW w:type="dxa" w:w="1701"/>
          </w:tcPr>
          <w:p>
            <w:r>
              <w:rPr>
                <w:sz w:val="20"/>
              </w:rPr>
              <w:t>Scientific Reports 2025; DOI: 10.1038/s41598-025-14336-x</w:t>
            </w:r>
          </w:p>
        </w:tc>
      </w:tr>
    </w:tbl>
    <w:p>
      <w:pPr>
        <w:spacing w:after="120"/>
        <w:ind w:firstLine="283"/>
        <w:jc w:val="both"/>
      </w:pPr>
      <w:r>
        <w:rPr>
          <w:rFonts w:ascii="Times New Roman" w:hAnsi="Times New Roman"/>
          <w:i/>
          <w:sz w:val="22"/>
        </w:rPr>
        <w:t>Khuyến nghị: **Bỏ paper #7 khỏi danh sách**, hoặc thay bằng paper khác thực sự về adolescent. Em đã search nhanh và thấy có nhiều paper mediation alternative phù hợp hơn.</w:t>
      </w:r>
    </w:p>
    <w:p>
      <w:pPr>
        <w:spacing w:before="360" w:after="200"/>
        <w:jc w:val="center"/>
      </w:pPr>
      <w:r>
        <w:rPr>
          <w:rFonts w:ascii="Times New Roman" w:hAnsi="Times New Roman"/>
          <w:b/>
          <w:color w:val="C00000"/>
          <w:sz w:val="32"/>
        </w:rPr>
        <w:t>4. ĐÁNH GIÁ CHẤT LƯỢNG TỔNG THỂ</w:t>
      </w:r>
    </w:p>
    <w:p>
      <w:pPr>
        <w:spacing w:before="240" w:after="120"/>
      </w:pPr>
      <w:r>
        <w:rPr>
          <w:rFonts w:ascii="Times New Roman" w:hAnsi="Times New Roman"/>
          <w:b/>
          <w:color w:val="2E74B5"/>
          <w:sz w:val="26"/>
        </w:rPr>
        <w:t>Số lượng lỗi đã phát hiện</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402"/>
          </w:tcPr>
          <w:p>
            <w:r>
              <w:rPr>
                <w:b/>
                <w:sz w:val="20"/>
              </w:rPr>
              <w:t>Loại lỗi</w:t>
            </w:r>
          </w:p>
        </w:tc>
        <w:tc>
          <w:tcPr>
            <w:tcW w:type="dxa" w:w="3118"/>
          </w:tcPr>
          <w:p>
            <w:r>
              <w:rPr>
                <w:b/>
                <w:sz w:val="20"/>
              </w:rPr>
              <w:t>Số paper bị ảnh hưởng</w:t>
            </w:r>
          </w:p>
        </w:tc>
        <w:tc>
          <w:tcPr>
            <w:tcW w:type="dxa" w:w="3118"/>
          </w:tcPr>
          <w:p>
            <w:r>
              <w:rPr>
                <w:b/>
                <w:sz w:val="20"/>
              </w:rPr>
              <w:t>Tỷ lệ</w:t>
            </w:r>
          </w:p>
        </w:tc>
      </w:tr>
      <w:tr>
        <w:tc>
          <w:tcPr>
            <w:tcW w:type="dxa" w:w="3402"/>
          </w:tcPr>
          <w:p>
            <w:r>
              <w:rPr>
                <w:sz w:val="20"/>
              </w:rPr>
              <w:t>Lỗi tác giả/sample (Nhóm 1)</w:t>
            </w:r>
          </w:p>
        </w:tc>
        <w:tc>
          <w:tcPr>
            <w:tcW w:type="dxa" w:w="3118"/>
          </w:tcPr>
          <w:p>
            <w:r>
              <w:rPr>
                <w:sz w:val="20"/>
              </w:rPr>
              <w:t>3</w:t>
            </w:r>
          </w:p>
        </w:tc>
        <w:tc>
          <w:tcPr>
            <w:tcW w:type="dxa" w:w="3118"/>
          </w:tcPr>
          <w:p>
            <w:r>
              <w:rPr>
                <w:sz w:val="20"/>
              </w:rPr>
              <w:t>9,1%</w:t>
            </w:r>
          </w:p>
        </w:tc>
      </w:tr>
      <w:tr>
        <w:tc>
          <w:tcPr>
            <w:tcW w:type="dxa" w:w="3402"/>
          </w:tcPr>
          <w:p>
            <w:r>
              <w:rPr>
                <w:sz w:val="20"/>
              </w:rPr>
              <w:t>Lỗi năm xuất bản (Nhóm 2)</w:t>
            </w:r>
          </w:p>
        </w:tc>
        <w:tc>
          <w:tcPr>
            <w:tcW w:type="dxa" w:w="3118"/>
          </w:tcPr>
          <w:p>
            <w:r>
              <w:rPr>
                <w:sz w:val="20"/>
              </w:rPr>
              <w:t>2</w:t>
            </w:r>
          </w:p>
        </w:tc>
        <w:tc>
          <w:tcPr>
            <w:tcW w:type="dxa" w:w="3118"/>
          </w:tcPr>
          <w:p>
            <w:r>
              <w:rPr>
                <w:sz w:val="20"/>
              </w:rPr>
              <w:t>6,1%</w:t>
            </w:r>
          </w:p>
        </w:tc>
      </w:tr>
      <w:tr>
        <w:tc>
          <w:tcPr>
            <w:tcW w:type="dxa" w:w="3402"/>
          </w:tcPr>
          <w:p>
            <w:r>
              <w:rPr>
                <w:sz w:val="20"/>
              </w:rPr>
              <w:t>Lỗi đối tượng nghiên cứu (Nhóm 3)</w:t>
            </w:r>
          </w:p>
        </w:tc>
        <w:tc>
          <w:tcPr>
            <w:tcW w:type="dxa" w:w="3118"/>
          </w:tcPr>
          <w:p>
            <w:r>
              <w:rPr>
                <w:sz w:val="20"/>
              </w:rPr>
              <w:t>1</w:t>
            </w:r>
          </w:p>
        </w:tc>
        <w:tc>
          <w:tcPr>
            <w:tcW w:type="dxa" w:w="3118"/>
          </w:tcPr>
          <w:p>
            <w:r>
              <w:rPr>
                <w:sz w:val="20"/>
              </w:rPr>
              <w:t>3,0%</w:t>
            </w:r>
          </w:p>
        </w:tc>
      </w:tr>
      <w:tr>
        <w:tc>
          <w:tcPr>
            <w:tcW w:type="dxa" w:w="3402"/>
          </w:tcPr>
          <w:p>
            <w:r>
              <w:rPr>
                <w:sz w:val="20"/>
              </w:rPr>
              <w:t>Lỗi IF + acceptance rate (đã sửa trong v2)</w:t>
            </w:r>
          </w:p>
        </w:tc>
        <w:tc>
          <w:tcPr>
            <w:tcW w:type="dxa" w:w="3118"/>
          </w:tcPr>
          <w:p>
            <w:r>
              <w:rPr>
                <w:sz w:val="20"/>
              </w:rPr>
              <w:t>9 tạp chí</w:t>
            </w:r>
          </w:p>
        </w:tc>
        <w:tc>
          <w:tcPr>
            <w:tcW w:type="dxa" w:w="3118"/>
          </w:tcPr>
          <w:p>
            <w:r>
              <w:rPr>
                <w:sz w:val="20"/>
              </w:rPr>
              <w:t>—</w:t>
            </w:r>
          </w:p>
        </w:tc>
      </w:tr>
      <w:tr>
        <w:tc>
          <w:tcPr>
            <w:tcW w:type="dxa" w:w="3402"/>
          </w:tcPr>
          <w:p>
            <w:r>
              <w:rPr>
                <w:sz w:val="20"/>
              </w:rPr>
              <w:t>Tổng số paper có lỗi</w:t>
            </w:r>
          </w:p>
        </w:tc>
        <w:tc>
          <w:tcPr>
            <w:tcW w:type="dxa" w:w="3118"/>
          </w:tcPr>
          <w:p>
            <w:r>
              <w:rPr>
                <w:sz w:val="20"/>
              </w:rPr>
              <w:t>6/33</w:t>
            </w:r>
          </w:p>
        </w:tc>
        <w:tc>
          <w:tcPr>
            <w:tcW w:type="dxa" w:w="3118"/>
          </w:tcPr>
          <w:p>
            <w:r>
              <w:rPr>
                <w:sz w:val="20"/>
              </w:rPr>
              <w:t>18,2%</w:t>
            </w:r>
          </w:p>
        </w:tc>
      </w:tr>
    </w:tbl>
    <w:p>
      <w:pPr>
        <w:spacing w:after="120"/>
        <w:ind w:firstLine="283"/>
        <w:jc w:val="both"/>
      </w:pPr>
      <w:r>
        <w:rPr>
          <w:rFonts w:ascii="Times New Roman" w:hAnsi="Times New Roman"/>
          <w:i/>
          <w:sz w:val="22"/>
        </w:rPr>
        <w:t>Trên tổng 33 paper được liệt kê, em phát hiện 6 paper có vấn đề (18%). Đây là tỷ lệ cao hơn em mong đợi và cho thấy em cần thận trọng hơn khi compile bộ tham khảo nhanh — nên search verify từng entry trước khi đưa vào danh sách.</w:t>
      </w:r>
    </w:p>
    <w:p>
      <w:pPr>
        <w:spacing w:before="240" w:after="120"/>
      </w:pPr>
      <w:r>
        <w:rPr>
          <w:rFonts w:ascii="Times New Roman" w:hAnsi="Times New Roman"/>
          <w:b/>
          <w:color w:val="2E74B5"/>
          <w:sz w:val="26"/>
        </w:rPr>
        <w:t>Em xin nhận lỗi</w:t>
      </w:r>
    </w:p>
    <w:p>
      <w:pPr>
        <w:spacing w:after="120"/>
        <w:ind w:firstLine="283"/>
        <w:jc w:val="both"/>
      </w:pPr>
      <w:r>
        <w:rPr>
          <w:rFonts w:ascii="Times New Roman" w:hAnsi="Times New Roman"/>
          <w:i w:val="0"/>
          <w:sz w:val="22"/>
        </w:rPr>
        <w:t>Em xin lỗi vì đã không verify kỹ từng entry trong các phiên trước, dẫn đến nhiều lỗi đã đi vào file gửi đến thầy và nhóm. Bài học rút ra: với loại tài liệu tham khảo có tính dữ liệu cụ thể như tên paper, năm, tác giả, tạp chí, em phải LUÔN verify từng entry bằng search trực tiếp trên PubMed/Crossref trước khi đưa vào file gửi đi.</w:t>
      </w:r>
    </w:p>
    <w:p>
      <w:pPr>
        <w:spacing w:before="360" w:after="200"/>
        <w:jc w:val="center"/>
      </w:pPr>
      <w:r>
        <w:rPr>
          <w:rFonts w:ascii="Times New Roman" w:hAnsi="Times New Roman"/>
          <w:b/>
          <w:color w:val="C00000"/>
          <w:sz w:val="32"/>
        </w:rPr>
        <w:t>5. ĐỀ XUẤT HÀNH ĐỘNG</w:t>
      </w:r>
    </w:p>
    <w:p>
      <w:pPr>
        <w:spacing w:after="120"/>
        <w:jc w:val="both"/>
      </w:pPr>
      <w:r>
        <w:rPr>
          <w:rFonts w:ascii="Times New Roman" w:hAnsi="Times New Roman"/>
          <w:i w:val="0"/>
          <w:sz w:val="22"/>
        </w:rPr>
        <w:t>Em đề xuất ba phương án để xử lý các lỗi này, tùy theo mức độ ưu tiên mà thầy quyết định:</w:t>
      </w:r>
    </w:p>
    <w:p>
      <w:pPr>
        <w:spacing w:before="240" w:after="120"/>
      </w:pPr>
      <w:r>
        <w:rPr>
          <w:rFonts w:ascii="Times New Roman" w:hAnsi="Times New Roman"/>
          <w:b/>
          <w:color w:val="2E74B5"/>
          <w:sz w:val="26"/>
        </w:rPr>
        <w:t>Phương án A: Em rebuild v3 với tất cả các sửa</w:t>
      </w:r>
    </w:p>
    <w:p>
      <w:pPr>
        <w:spacing w:after="120"/>
        <w:jc w:val="both"/>
      </w:pPr>
      <w:r>
        <w:rPr>
          <w:rFonts w:ascii="Times New Roman" w:hAnsi="Times New Roman"/>
          <w:i w:val="0"/>
          <w:sz w:val="22"/>
        </w:rPr>
        <w:t>Em sẽ tạo file v3 với:</w:t>
      </w:r>
    </w:p>
    <w:p>
      <w:pPr>
        <w:spacing w:after="120"/>
        <w:jc w:val="both"/>
      </w:pPr>
      <w:r>
        <w:rPr>
          <w:rFonts w:ascii="Times New Roman" w:hAnsi="Times New Roman"/>
          <w:i w:val="0"/>
          <w:sz w:val="22"/>
        </w:rPr>
        <w:t xml:space="preserve">  • Sửa tác giả Paper #1 (Juan J et al.) + thêm "GIRLS" vào title</w:t>
      </w:r>
    </w:p>
    <w:p>
      <w:pPr>
        <w:spacing w:after="120"/>
        <w:jc w:val="both"/>
      </w:pPr>
      <w:r>
        <w:rPr>
          <w:rFonts w:ascii="Times New Roman" w:hAnsi="Times New Roman"/>
          <w:i w:val="0"/>
          <w:sz w:val="22"/>
        </w:rPr>
        <w:t xml:space="preserve">  • Sửa năm Paper #13 (2023→2024)</w:t>
      </w:r>
    </w:p>
    <w:p>
      <w:pPr>
        <w:spacing w:after="120"/>
        <w:jc w:val="both"/>
      </w:pPr>
      <w:r>
        <w:rPr>
          <w:rFonts w:ascii="Times New Roman" w:hAnsi="Times New Roman"/>
          <w:i w:val="0"/>
          <w:sz w:val="22"/>
        </w:rPr>
        <w:t xml:space="preserve">  • Sửa năm Paper #6 (2025→2026)</w:t>
      </w:r>
    </w:p>
    <w:p>
      <w:pPr>
        <w:spacing w:after="120"/>
        <w:jc w:val="both"/>
      </w:pPr>
      <w:r>
        <w:rPr>
          <w:rFonts w:ascii="Times New Roman" w:hAnsi="Times New Roman"/>
          <w:i w:val="0"/>
          <w:sz w:val="22"/>
        </w:rPr>
        <w:t xml:space="preserve">  • Bỏ hoặc thay Paper #7 (vì là sinh viên ĐH, không phải adolescent)</w:t>
      </w:r>
    </w:p>
    <w:p>
      <w:pPr>
        <w:spacing w:after="120"/>
        <w:jc w:val="both"/>
      </w:pPr>
      <w:r>
        <w:rPr>
          <w:rFonts w:ascii="Times New Roman" w:hAnsi="Times New Roman"/>
          <w:i w:val="0"/>
          <w:sz w:val="22"/>
        </w:rPr>
        <w:t xml:space="preserve">  • Bổ sung thông tin đầy đủ tác giả + journal cho Paper #9 (Tran Minh Dien et al., BMC Public Health)</w:t>
      </w:r>
    </w:p>
    <w:p>
      <w:pPr>
        <w:spacing w:after="120"/>
        <w:jc w:val="both"/>
      </w:pPr>
      <w:r>
        <w:rPr>
          <w:rFonts w:ascii="Times New Roman" w:hAnsi="Times New Roman"/>
          <w:i w:val="0"/>
          <w:sz w:val="22"/>
        </w:rPr>
        <w:t xml:space="preserve">  • Bổ sung tác giả cho Paper #13 (Gebreegziabher Z et al.) và Paper #17 (Niwenahisemo LC et al.)</w:t>
      </w:r>
    </w:p>
    <w:p>
      <w:pPr>
        <w:spacing w:after="120"/>
        <w:jc w:val="both"/>
      </w:pPr>
      <w:r>
        <w:rPr>
          <w:rFonts w:ascii="Times New Roman" w:hAnsi="Times New Roman"/>
          <w:i w:val="0"/>
          <w:sz w:val="22"/>
        </w:rPr>
        <w:t xml:space="preserve">  • Bổ sung sample sizes cho Paper #5 (n=486), Paper #6 (n=3,673), Paper #17 (n=1,813)</w:t>
      </w:r>
    </w:p>
    <w:p>
      <w:pPr>
        <w:spacing w:after="120"/>
        <w:jc w:val="both"/>
      </w:pPr>
      <w:r>
        <w:rPr>
          <w:rFonts w:ascii="Times New Roman" w:hAnsi="Times New Roman"/>
          <w:i/>
          <w:sz w:val="22"/>
        </w:rPr>
        <w:t>Thời gian: ~15-20 phút.</w:t>
      </w:r>
    </w:p>
    <w:p>
      <w:pPr>
        <w:spacing w:before="240" w:after="120"/>
      </w:pPr>
      <w:r>
        <w:rPr>
          <w:rFonts w:ascii="Times New Roman" w:hAnsi="Times New Roman"/>
          <w:b/>
          <w:color w:val="2E74B5"/>
          <w:sz w:val="26"/>
        </w:rPr>
        <w:t>Phương án B: Em chỉ ghi chú các sửa vào file v2 hiện tại</w:t>
      </w:r>
    </w:p>
    <w:p>
      <w:pPr>
        <w:spacing w:after="120"/>
        <w:jc w:val="both"/>
      </w:pPr>
      <w:r>
        <w:rPr>
          <w:rFonts w:ascii="Times New Roman" w:hAnsi="Times New Roman"/>
          <w:i w:val="0"/>
          <w:sz w:val="22"/>
        </w:rPr>
        <w:t>Em sẽ thêm phần "ERRATA — Các sửa đã phát hiện" ở cuối file v2, không tạo file mới. Thời gian: ~5 phút.</w:t>
      </w:r>
    </w:p>
    <w:p>
      <w:pPr>
        <w:spacing w:before="240" w:after="120"/>
      </w:pPr>
      <w:r>
        <w:rPr>
          <w:rFonts w:ascii="Times New Roman" w:hAnsi="Times New Roman"/>
          <w:b/>
          <w:color w:val="2E74B5"/>
          <w:sz w:val="26"/>
        </w:rPr>
        <w:t>Phương án C: Để các lỗi nguyên trong file v2 (không khuyến nghị)</w:t>
      </w:r>
    </w:p>
    <w:p>
      <w:pPr>
        <w:spacing w:after="120"/>
        <w:jc w:val="both"/>
      </w:pPr>
      <w:r>
        <w:rPr>
          <w:rFonts w:ascii="Times New Roman" w:hAnsi="Times New Roman"/>
          <w:i w:val="0"/>
          <w:sz w:val="22"/>
        </w:rPr>
        <w:t>Phương án này CHỈ chấp nhận được nếu thầy không gửi file v2 cho đồng tác giả Nguyễn Minh Đức. Em không khuyến nghị vì các lỗi tác giả + năm sẽ gây nhầm lẫn cho người đọc khi muốn tra cứu paper.</w:t>
      </w:r>
    </w:p>
    <w:p>
      <w:pPr>
        <w:spacing w:after="120"/>
        <w:jc w:val="both"/>
      </w:pPr>
      <w:r>
        <w:rPr>
          <w:rFonts w:ascii="Times New Roman" w:hAnsi="Times New Roman"/>
          <w:i/>
          <w:sz w:val="22"/>
        </w:rPr>
        <w:t>Em đề xuất **Phương án A** vì các lỗi đủ nghiêm trọng để cần fix trước khi file đi đến đồng tác giả. Thầy xác nhận em sẽ thực hiện ngay.</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