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Q2 - Frontiers in Psychiatry (v1, bilingual, polished)</w:t>
      </w:r>
    </w:p>
    <w:p>
      <w:pPr>
        <w:spacing w:before="400" w:after="120"/>
        <w:jc w:val="center"/>
      </w:pPr>
      <w:r>
        <w:rPr>
          <w:rFonts w:ascii="Times New Roman" w:hAnsi="Times New Roman"/>
          <w:b/>
          <w:color w:val="1F4E79"/>
          <w:sz w:val="30"/>
        </w:rPr>
        <w:t>An integrated risk-protective structural equation model of anxiety disorder subtypes in Vietnamese lower secondary school students: a cross-sectional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cắt ngang</w:t>
      </w:r>
    </w:p>
    <w:p>
      <w:pPr>
        <w:spacing w:after="80"/>
        <w:jc w:val="center"/>
      </w:pPr>
      <w:r>
        <w:rPr>
          <w:rFonts w:ascii="Times New Roman" w:hAnsi="Times New Roman"/>
          <w:b/>
          <w:sz w:val="24"/>
        </w:rPr>
        <w:t>Hang Thi Cong¹*, Duc Minh Dao¹, Nguyen Minh Duc²†</w:t>
      </w:r>
    </w:p>
    <w:p>
      <w:pPr>
        <w:spacing w:after="240"/>
        <w:jc w:val="center"/>
      </w:pPr>
      <w:r>
        <w:rPr>
          <w:rFonts w:ascii="Times New Roman" w:hAnsi="Times New Roman"/>
          <w:i/>
          <w:sz w:val="20"/>
        </w:rPr>
        <w:t>¹ Hanoi National University of Education, Hanoi, Vietnam | ² [Affiliation TBD] | * Correspondence: hangct@hnue.edu.vn | † Senior author (last author per Western convention)</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are a leading mental health concern among adolescents worldwide, and the Asian region recorded the largest age-standardised increase in incidence between 1990 and 2021. Although a substantial evidence base documents risk and protective factors studied in isolation, no Vietnamese study to date has tested an integrated risk-protective model across DSM-5 anxiety subtypes — generalised anxiety disorder (GAD), separation anxiety disorder (SAD) and social anxiety disorder (SocAD) — using structural equation modelling (SEM). The present study addresses this gap and examines whether subtype-specific pathways are invariant across gender.</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tỷ lệ mới mắc chuẩn hóa theo tuổi cao nhất trong giai đoạn 1990–2021. Mặc dù đã có một nền bằng chứng đáng kể về tác động đơn lẻ của các yếu tố nguy cơ và bảo vệ, đến nay vẫn chưa có nghiên cứu nào tại Việt Nam kiểm định mô hình tích hợp nguy cơ – bảo vệ trên các phân loại rối loạn lo âu theo DSM-5 — rối loạn lo âu tổng quát (GAD), rối loạn lo âu chia ly (SAD) và rối loạn lo âu xã hội (SocAD) — bằng mô hình phương trình cấu trúc (SEM). Nghiên cứu này lấp khoảng trống đó và kiểm định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We conducted a cross-sectional SEM study with 1,352 lower secondary school students (614 boys, 738 girls; aged 11–14 years) recruited from two purposively selected schools in Hanoi, Vietnam. Eight validated scales measured three risk factors — academic pressure (ESSA), smartphone addiction (SAS-SV) and school bullying (OBVQ) — and four protective factors — school engagement (PSSM), parental support (MSPSS-Parents), peer support (MSPSS-Peers) and self-esteem (RSES). DSM-5 anxiety subtypes were assessed with the Revised Children's Anxiety and Depression Scale (RCADS; GAD, SAD and SocAD subscales). We fitted subtype-specific SEMs for each of the seven predictors, an integrated risk-protective composite model and a multi-group invariance test by gender in AMOS 31.0.</w:t>
      </w:r>
    </w:p>
    <w:p>
      <w:pPr>
        <w:spacing w:after="160"/>
        <w:ind w:firstLine="283"/>
        <w:jc w:val="both"/>
      </w:pPr>
      <w:r>
        <w:rPr>
          <w:rFonts w:ascii="Times New Roman" w:hAnsi="Times New Roman"/>
          <w:i/>
          <w:color w:val="404040"/>
          <w:sz w:val="22"/>
        </w:rPr>
        <w:t>Chúng tôi thực hiện một nghiên cứu cắt ngang sử dụng SEM với 1.352 học sinh trung học cơ sở (614 nam, 738 nữ; 11–14 tuổi) được tuyển từ hai trường tại Hà Nội được chọn có chủ đích. Tám thang đo đã kiểm định đo lường ba yếu tố nguy cơ — áp lực học tập (ESSA), nghiện điện thoại (SAS-SV) và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và SocAD). Chúng tôi ước lượng các mô hình SEM theo từng phân loại với từng yếu tố trong số bảy yếu tố dự báo, một mô hình tích hợp nguy cơ – bảo vệ và kiểm định bất biến đa nhóm theo giới trên AMOS 31.0.</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SEMs revealed three differential pathways. First, school bullying showed its strongest association with SAD (β = 0.376, p &lt; .001) rather than with GAD (β = 0.215) or SocAD (β = 0.253) — a counterintuitive pattern not previously reported in the Vietnamese literature. Second, self-esteem emerged as the strongest single protective factor for GAD (β = −0.455, p &lt; .001), comparable in magnitude to the dominant academic-pressure risk effect on GAD (β = 0.510, p &lt; .001). Third, peer support showed no significant association with any anxiety subtype (β = −0.015 to −0.079), challenging the assumption that peer relationships are universally protective in adolescence. The integrated risk-protective composite model accounted for R² = 0.598 of the variance in total anxiety (composite Risk → Anxiety: β = 0.669, p &lt; .001; composite Protection → Anxiety: β = −0.220, p &lt; .001). Multi-group invariance testing showed significant gender differences for GAD (female M = 59.47 vs male M = 51.43; F(1, 1350) = 44.48, p &lt; .001) and SocAD (female M = 52.74 vs male M = 43.20; F(1, 1350) = 45.98, p &lt; .001) but full gender invariance for SAD (female M = 24.76 vs male M = 25.42; F(1, 1350) = 0.246, p = .620).</w:t>
      </w:r>
    </w:p>
    <w:p>
      <w:pPr>
        <w:spacing w:after="160"/>
        <w:ind w:firstLine="283"/>
        <w:jc w:val="both"/>
      </w:pPr>
      <w:r>
        <w:rPr>
          <w:rFonts w:ascii="Times New Roman" w:hAnsi="Times New Roman"/>
          <w:i/>
          <w:color w:val="404040"/>
          <w:sz w:val="22"/>
        </w:rPr>
        <w:t>Các mô hình SEM theo từng phân loại làm rõ ba đường dẫn khác biệt.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p &lt; 0,001). Thứ ba, hỗ trợ bạn bè không có liên hệ có ý nghĩa với bất kỳ phân loại lo âu nào (β = −0,015 đến −0,079), thách thức giả định về vai trò bảo vệ phổ quát của quan hệ bạn bè ở tuổi thanh thiếu niên. Mô hình tích hợp nguy cơ – bảo vệ giải thích R² = 0,598 phương sai của tổng lo âu (đường dẫn tổng hợp Nguy cơ → Lo âu: β = 0,669; p &lt; 0,001; tổng hợp Bảo vệ → Lo âu: β = −0,220; p &lt; 0,001). Kiểm định bất biến đa nhóm cho thấy khác biệt giới có ý nghĩa với GAD (nữ M = 59,47 so với nam M = 51,43; F(1, 1350) = 44,48; p &lt; 0,001) và SocAD (nữ M = 52,74 so với nam M = 43,20; F(1, 1350) = 45,98; p &lt; 0,001) nhưng bất biến giới hoàn toàn với SAD (nữ M = 24,76 so với nam M = 25,42; F(1, 1350) = 0,246;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exerted its strongest impact on separation anxiety, self-esteem was the strongest single protective lever against generalised anxiety, and only separation anxiety showed complete gender invariance — a pattern consistent with a cultural-collectivism interpretation in which family hierarchy produces uniform attachment experiences across genders. These findings support subtype-targeted prevention frameworks that combine culture-sensitive self-esteem building with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một mẫu hình phù hợp với cách diễn giải văn hóa tập thể, trong đó hệ thống thứ bậc gia đình tạo trải nghiệm gắn bó đồng nhất giữa các giới. Các phát hiện này ủng hộ các khung phòng ngừa theo từng phân loại, kết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cross-sectional study</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nghiên cứu cắt ngang</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the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worldwide. The Global Burden of Disease 2021 estimates that anxiety disorders affect approximately 11.9% of adolescents in the ASEAN region and 10.1% in Vietnam, with the largest age-standardised incidence increase between 1990 and 2021 observed in Asia (1, 2). Beyond aggregate burden, epidemiological evidence indicates that adolescent anxiety is often chronic: a population-based Australian cohort found that 64% of adolescents reported anxiety or depressive symptoms on three or more occasions between ages 10 and 18 (3).</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(1, 2). Ngoài gánh nặng tổng thể, bằng chứng dịch tễ cho thấy lo âu tuổi vị thành niên thường mang tính mạn tính: một nghiên cứu đoàn hệ dựa trên dân số tại Úc cho thấy 64% thanh thiếu niên báo cáo triệu chứng lo âu hoặc trầm cảm ít nhất ba lần trong giai đoạn 10–18 tuổi (3).</w:t>
      </w:r>
    </w:p>
    <w:p>
      <w:pPr>
        <w:spacing w:after="60"/>
        <w:ind w:firstLine="283"/>
        <w:jc w:val="both"/>
      </w:pPr>
      <w:r>
        <w:rPr>
          <w:rFonts w:ascii="Times New Roman" w:hAnsi="Times New Roman"/>
          <w:sz w:val="24"/>
        </w:rPr>
        <w:t>Yet aggregate burden tells only half the story. Central to the present study is the recognition that "anxiety" is not a unitary phenomenon. The Diagnostic and Statistical Manual of Mental Disorders, Fifth Edition (4), distinguishes generalised anxiety disorder (GAD), separation anxiety disorder (SAD) and social anxiety disorder (SocAD) as separate diagnostic entities, and the Revised Children's Anxiety and Depression Scale (RCADS) operationalises these subtypes for adolescent self-report (5). Aggregating subtypes can obscure clinically actionable heterogeneity. Nevertheless, most Asian studies report anxiety only as a composite outcome (6–9), leaving subtype-specific risk-protective architectures unmapped in the Vietnamese context. This unmapped subtype architecture is the primary empirical gap the present study addresses.</w:t>
      </w:r>
    </w:p>
    <w:p>
      <w:pPr>
        <w:spacing w:after="160"/>
        <w:ind w:firstLine="283"/>
        <w:jc w:val="both"/>
      </w:pPr>
      <w:r>
        <w:rPr>
          <w:rFonts w:ascii="Times New Roman" w:hAnsi="Times New Roman"/>
          <w:i/>
          <w:color w:val="404040"/>
          <w:sz w:val="22"/>
        </w:rPr>
        <w:t>Tuy nhiên, gánh nặng tổng thể mới chỉ là một nửa câu chuyện. Một điểm cốt lõi của nghiên cứu này là sự thừa nhận rằng "lo âu" không phải là một hiện tượng đơn nhất. Sổ tay Chẩn đoán và Thống kê các Rối loạn Tâm thần phiên bản thứ năm (4) phân biệt rối loạn lo âu tổng quát (GAD), rối loạn lo âu chia ly (SAD) và rối loạn lo âu xã hội (SocAD) thành các thực thể chẩn đoán riêng biệt; và thang Đánh giá Lo âu và Trầm cảm sửa đổi cho Trẻ em (RCADS) thao tác hóa các phân loại này cho tự báo cáo ở thanh thiếu niên (5). Việc gộp các phân loại có thể che lấp tính dị biệt lâm sàng có giá trị hành động. Tuy vậy, phần lớn nghiên cứu châu Á chỉ báo cáo lo âu dưới dạng kết quả tổng hợp (6–9), để lại khoảng trống cấu trúc nguy cơ – bảo vệ theo từng phân loại trong bối cảnh Việt Nam. Khoảng trống cấu trúc theo phân loại chưa được lập bản đồ này chính là khoảng trống thực nghiệm hàng đầu mà nghiên cứu hiện tại nhắm tới.</w:t>
      </w:r>
    </w:p>
    <w:p>
      <w:pPr>
        <w:spacing w:after="60"/>
        <w:ind w:firstLine="283"/>
        <w:jc w:val="both"/>
      </w:pPr>
      <w:r>
        <w:rPr>
          <w:rFonts w:ascii="Times New Roman" w:hAnsi="Times New Roman"/>
          <w:sz w:val="24"/>
        </w:rPr>
        <w:t>Beyond DSM-5 subtype heterogeneity, the Vietnamese setting introduces three culturally specific considerations that any risk-protective model must accommodate (10). First, a Confucian academic culture (11) frames high-stakes examinations as the principal gateway to social mobility, intensifying chronic academic stress. Second, a hierarchical family structure constrains emotional disclosure between adolescents and parents and may therefore attenuate the efficacy of parental support. Third, a collectivist orientation may uniformly shape attachment processes across genders, with theoretical implications for separation anxiety (12, 13). These culture-specific features call for empirical examination beyond imported Western frameworks.</w:t>
      </w:r>
    </w:p>
    <w:p>
      <w:pPr>
        <w:spacing w:after="160"/>
        <w:ind w:firstLine="283"/>
        <w:jc w:val="both"/>
      </w:pPr>
      <w:r>
        <w:rPr>
          <w:rFonts w:ascii="Times New Roman" w:hAnsi="Times New Roman"/>
          <w:i/>
          <w:color w:val="404040"/>
          <w:sz w:val="22"/>
        </w:rPr>
        <w:t>Ngoài tính dị biệt của các phân loại DSM-5, bối cảnh Việt Nam còn đặt ra ba yếu tố đặc thù văn hóa mà bất kỳ mô hình nguy cơ – bảo vệ nào cũng phải tính đến (10). Thứ nhất, văn hóa học thuật Nho giáo (11) coi các kỳ thi áp lực cao là cửa ngõ chính để di chuyển xã hội, làm gia tăng stress học tập kéo dài. Thứ hai, cấu trúc gia đình thứ bậc hạn chế việc bộc lộ cảm xúc giữa thanh thiếu niên và cha mẹ, và do đó có thể làm suy giảm hiệu lực của hỗ trợ cha mẹ. Thứ ba, định hướng tập thể có thể định hình các quá trình gắn bó một cách đồng nhất giữa các giới, với hàm ý lý thuyết cho lo âu chia ly (12, 13).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(14) posits that adolescent psychopathology emerges from dynamic interactions between stressors and resources, both internal (e.g., self-esteem) and external (e.g., school, peer and family systems). A landmark meta-analysis by Compas and colleagues (212 studies, N = 80,850) confirmed the joint contribution of risk and protective factors to youth internalising symptoms (15). Critically, however, most primary studies have tested these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(14) giả định rằng tâm bệnh ở tuổi thanh thiếu niên xuất hiện từ tương tác động giữa các yếu tố gây stress và các nguồn lực, cả nội tại (ví dụ, tự trọng) và bên ngoài (ví dụ, hệ thống trường học, bạn bè và gia đình). Một phân tích tổng hợp quan trọng của Compas và cộng sự (212 nghiên cứu, N = 80.850) đã khẳng định sự đóng góp đồng thời của các yếu tố nguy cơ và bảo vệ đối với triệu chứng nội hóa ở giới trẻ (15). Tuy nhiên, phần lớn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In Vietnam, methodological inconsistency further obscures the evidence base. The Vietnam Adolescent Mental Health Survey (V-NAMHS), which used the DSM-5–anchored Diagnostic Interview Schedule for Children (DISC-5), estimated a 12-month anxiety disorder prevalence of 2.3% (16), whereas school-based studies using continuous symptom scales (e.g., DASS-21) report substantially higher rates (17). This measurement gap underscores the need for analytical strategies that move beyond aggregate prevalence to mechanistic models of subtype-specific pathways. Among the mechanistic dimensions that require mapping, gender is the most salient — and, as we argue next, the most culturally sensitive.</w:t>
      </w:r>
    </w:p>
    <w:p>
      <w:pPr>
        <w:spacing w:after="160"/>
        <w:ind w:firstLine="283"/>
        <w:jc w:val="both"/>
      </w:pPr>
      <w:r>
        <w:rPr>
          <w:rFonts w:ascii="Times New Roman" w:hAnsi="Times New Roman"/>
          <w:i/>
          <w:color w:val="404040"/>
          <w:sz w:val="22"/>
        </w:rPr>
        <w:t>Tại Việt Nam, sự thiếu nhất quán về phương pháp luận càng làm cơ sở bằng chứng thêm mờ nhạt. Khảo sát Sức khỏe Tâm thần Thanh thiếu niên Việt Nam (V-NAMHS) sử dụng Bảng phỏng vấn chẩn đoán cho trẻ em phiên bản DSM-5 (DISC-5) ước tính tỷ lệ rối loạn lo âu trong 12 tháng là 2,3% (16), trong khi các nghiên cứu trường học sử dụng thang đo triệu chứng liên tục (ví dụ DASS-21) báo cáo tỷ lệ cao hơn nhiều (17). Khoảng cách đo lường này nhấn mạnh nhu cầu về chiến lược phân tích vượt ra ngoài tỷ lệ tổng hợp để tiến tới mô hình cơ chế của các đường dẫn theo từng phân loại. Trong số các kích thước cơ chế cần được lập bản đồ, giới là kích thước nổi bật nhất – và như chúng tôi luận giải tiếp theo, cũng là kích thước nhạy cảm nhất với văn hóa.</w:t>
      </w:r>
    </w:p>
    <w:p>
      <w:pPr>
        <w:spacing w:before="160" w:after="40"/>
      </w:pPr>
      <w:r>
        <w:rPr>
          <w:rFonts w:ascii="Times New Roman" w:hAnsi="Times New Roman"/>
          <w:b/>
          <w:sz w:val="24"/>
        </w:rPr>
        <w:t>1.3 Gender, separation anxiety and the cultural-collectivism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drawn from the Western literature is that females exhibit higher anxiety than males across subtypes (18). Emerging Asian evidence challenges this expectation: rural Chinese males have shown higher anxiety than rural Chinese females (8), and Northeast Indian adolescent boys reported a significantly higher severe-anxiety prevalence than girls (30.0% vs 18.9%; p = .049) (9).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(18). Bằng chứng mới nổi từ châu Á thách thức kỳ vọng này: nam thanh thiếu niên Trung Quốc nông thôn có mức lo âu cao hơn nữ cùng vùng (8), và nam thanh thiếu niên Đông Bắc Ấn Độ có tỷ lệ lo âu nặng cao hơn nữ một cách có ý nghĩa (30,0% so với 18,9%; p = 0,049) (9). Các mẫu hình này gợi ý rằng tác động của giới lên lo âu phụ thuộc vào văn hóa và bối cảnh, chứ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(13) and on developmental work indicating that separation-individuation tasks are predominantly childhood-onset and therefore precede the post-pubertal differentiation of gender-loaded social pressures (19, 20).</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(13) và các nghiên cứu phát triển cho thấy các nhiệm vụ chia ly – cá nhân hóa chủ yếu khởi phát từ thời thơ ấu, do đó đi trước sự phân hóa giới của các áp lực xã hội sau dậy thì (19, 20).</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Drawing these threads together — the DSM-5 subtype heterogeneity gap, the Vietnamese cultural specificity and the cultural-collectivism gender prediction — we report a cross-sectional SEM study that applies subtype-specific structural equation modelling to test three pre-specified hypotheses in a Vietnamese lower secondary school sample:</w:t>
      </w:r>
    </w:p>
    <w:p>
      <w:pPr>
        <w:spacing w:after="160"/>
        <w:ind w:firstLine="283"/>
        <w:jc w:val="both"/>
      </w:pPr>
      <w:r>
        <w:rPr>
          <w:rFonts w:ascii="Times New Roman" w:hAnsi="Times New Roman"/>
          <w:i/>
          <w:color w:val="404040"/>
          <w:sz w:val="22"/>
        </w:rPr>
        <w:t>Tổng hợp các mạch lập luận trên — khoảng trống về tính dị biệt của các phân loại DSM-5, đặc thù văn hóa Việt Nam và dự đoán về giới dựa trên văn hóa tập thể — chúng tôi trình bày một nghiên cứu cắt ngang áp dụng SEM theo từng phân loại nhằm kiểm định ba giả thuyết được tiền-định trên mẫu học sinh trung học cơ sở Việt Nam:</w:t>
      </w:r>
    </w:p>
    <w:p>
      <w:pPr>
        <w:spacing w:after="60"/>
        <w:jc w:val="both"/>
      </w:pPr>
      <w:r>
        <w:rPr>
          <w:rFonts w:ascii="Times New Roman" w:hAnsi="Times New Roman"/>
          <w:sz w:val="24"/>
        </w:rPr>
        <w:t>H1: All three risk factors (academic pressure, smartphone addiction and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và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and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và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whereas GAD and SocAD will show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left="170"/>
        <w:jc w:val="both"/>
      </w:pPr>
      <w:r>
        <w:rPr>
          <w:rFonts w:ascii="Times New Roman" w:hAnsi="Times New Roman"/>
          <w:i/>
          <w:color w:val="606060"/>
          <w:sz w:val="20"/>
        </w:rPr>
        <w:t>Note: This is a quantitative cross-sectional analysis. A companion qualitative study is planned separately.</w:t>
      </w:r>
    </w:p>
    <w:p>
      <w:pPr>
        <w:spacing w:after="160"/>
        <w:ind w:left="170"/>
        <w:jc w:val="both"/>
      </w:pPr>
      <w:r>
        <w:rPr>
          <w:rFonts w:ascii="Times New Roman" w:hAnsi="Times New Roman"/>
          <w:i/>
          <w:color w:val="606060"/>
          <w:sz w:val="20"/>
        </w:rPr>
        <w:t>Ghi chú: Đây là phân tích định lượng cắt ngang. Một nghiên cứu định tính bổ trợ được lên kế hoạch triển khai riêng.</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Testing the three hypotheses above required a sample large enough to support multi-group SEM and a measurement battery aligned with the DSM-5 subtype structure. We employed a cross-sectional survey design combined with structural equation modelling. The sample comprised 1,352 lower secondary school students (males: n = 614, 45.4%; females: n = 738, 54.6%) recruited from two purposively selected schools in Hanoi, Vietnam (Nhat Tan and Tay Mo) representing urban and suburban contexts. Participants were aged 11–14 years and distributed across Grades 6 to 9 (Grade 6: n = 368; Grade 7: n = 316; Grade 8: n = 340; Grade 9: n = 328). Recruitment proceeded through school administration, with written parental consent and written student assent obtained for all participants.</w:t>
      </w:r>
    </w:p>
    <w:p>
      <w:pPr>
        <w:spacing w:after="160"/>
        <w:ind w:firstLine="283"/>
        <w:jc w:val="both"/>
      </w:pPr>
      <w:r>
        <w:rPr>
          <w:rFonts w:ascii="Times New Roman" w:hAnsi="Times New Roman"/>
          <w:i/>
          <w:color w:val="404040"/>
          <w:sz w:val="22"/>
        </w:rPr>
        <w:t>Việc kiểm định ba giả thuyết trên đòi hỏi một mẫu đủ lớn để hỗ trợ SEM đa nhóm và một bộ đo lường khớp với cấu trúc phân loại DSM-5. Chúng tôi sử dụng thiết kế khảo sát cắt ngang kết hợp với mô hình phương trình cấu trúc. Mẫu gồm 1.352 học sinh trung học cơ sở (nam: n = 614; 45,4%; nữ: n = 738; 54,6%) được tuyển từ hai trường tại Hà Nội được chọn có chủ đích (Nhật Tân và Tây Mỗ) đại diện cho bối cảnh đô thị và ngoại ô. Người tham gia ở độ tuổi 11–14, phân bố qua các khối từ 6 đến 9 (khối 6: n = 368; khối 7: n = 316; khối 8: n = 340; khối 9: n = 328). Quá trình tuyển chọn được thực hiện qua ban giám hiệu, với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Measurement covered three risk factors, four protective factors and three DSM-5 anxiety subtypes. Eight validated instruments were adapted into Vietnamese through forward–back translation, expert review (three clinical psychologists and one educational measurement specialist) and pilot testing on a separate sample of 50 students prior to the main survey. All raw scale scores were rescaled to a 0–100 metric for cross-scale comparability, while preserving the original scoring conventions.</w:t>
      </w:r>
    </w:p>
    <w:p>
      <w:pPr>
        <w:spacing w:after="160"/>
        <w:ind w:firstLine="283"/>
        <w:jc w:val="both"/>
      </w:pPr>
      <w:r>
        <w:rPr>
          <w:rFonts w:ascii="Times New Roman" w:hAnsi="Times New Roman"/>
          <w:i/>
          <w:color w:val="404040"/>
          <w:sz w:val="22"/>
        </w:rPr>
        <w:t>Bộ đo lường bao trùm ba yếu tố nguy cơ, bốn yếu tố bảo vệ và ba phân loại lo âu theo DSM-5. 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with the Revised Children's Anxiety and Depression Scale (RCADS) (5),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(5),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the following: (a) Educational Stress Scale for Adolescents (ESSA) (21), 4 items; (b) Smartphone Addiction Scale–Short Version (SAS-SV) (22), 5 items; and (c) Olweus Bully/Victim Questionnaire (OBVQ) (23),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(ESSA) (21), 4 mục; (b) thang Nghiện Điện thoại thông minh phiên bản rút gọn (SAS-SV) (22), 5 mục; và (c) Bảng hỏi Bắt nạt/Nạn nhân Olweus (OBVQ) (23), 8 mục đo lường bắt nạt thể chất và lời nói.</w:t>
      </w:r>
    </w:p>
    <w:p>
      <w:pPr>
        <w:spacing w:after="60"/>
        <w:ind w:firstLine="283"/>
        <w:jc w:val="both"/>
      </w:pPr>
      <w:r>
        <w:rPr>
          <w:rFonts w:ascii="Times New Roman" w:hAnsi="Times New Roman"/>
          <w:sz w:val="24"/>
        </w:rPr>
        <w:t>Protective factors comprised the following: (a) Psychological Sense of School Membership (PSSM) (24), 7 items; (b) Multidimensional Scale of Perceived Social Support (MSPSS) (25), 8 items split into parental and peer subscales (4 items each); and (c) Rosenberg Self-Esteem Scale (RSES) (26), 5 items.</w:t>
      </w:r>
    </w:p>
    <w:p>
      <w:pPr>
        <w:spacing w:after="160"/>
        <w:ind w:firstLine="283"/>
        <w:jc w:val="both"/>
      </w:pPr>
      <w:r>
        <w:rPr>
          <w:rFonts w:ascii="Times New Roman" w:hAnsi="Times New Roman"/>
          <w:i/>
          <w:color w:val="404040"/>
          <w:sz w:val="22"/>
        </w:rPr>
        <w:t>Các yếu tố bảo vệ gồm: (a) thang Cảm nhận Gắn bó với Trường (PSSM) (24), 7 mục; (b) thang Đa chiều về Hỗ trợ Xã hội Cảm nhận (MSPSS) (25), 8 mục chia thành tiểu thang cha mẹ và bạn bè (mỗi tiểu thang 4 mục); và (c) thang Tự trọng Rosenberg (RSES) (26), 5 mục.</w:t>
      </w:r>
    </w:p>
    <w:p>
      <w:pPr>
        <w:spacing w:before="160" w:after="40"/>
      </w:pPr>
      <w:r>
        <w:rPr>
          <w:rFonts w:ascii="Times New Roman" w:hAnsi="Times New Roman"/>
          <w:b/>
          <w:sz w:val="24"/>
        </w:rPr>
        <w:t>2.3 Analytic strategy</w:t>
      </w:r>
    </w:p>
    <w:p>
      <w:pPr>
        <w:spacing w:after="80"/>
      </w:pPr>
      <w:r>
        <w:rPr>
          <w:rFonts w:ascii="Times New Roman" w:hAnsi="Times New Roman"/>
          <w:b/>
          <w:i/>
          <w:sz w:val="22"/>
        </w:rPr>
        <w:t>2.3 Chiến lược phân tích</w:t>
      </w:r>
    </w:p>
    <w:p>
      <w:pPr>
        <w:spacing w:after="60"/>
        <w:ind w:firstLine="283"/>
        <w:jc w:val="both"/>
      </w:pPr>
      <w:r>
        <w:rPr>
          <w:rFonts w:ascii="Times New Roman" w:hAnsi="Times New Roman"/>
          <w:sz w:val="24"/>
        </w:rPr>
        <w:t>To link these measures to the three hypotheses, quantitative analyses proceeded in five sequential steps designed to build from psychometric verification toward the integrated risk-protective composite and gender-invariance tests. We used AMOS 31.0 and SPSS 31.0. Step 1 generated descriptive statistics and reliability estimates (Cronbach's α and McDonald's ω). Step 2 performed confirmatory factor analysis (CFA) for each scale, applying conventional fit-index thresholds (CFI ≥ 0.90, TLI ≥ 0.90, RMSEA ≤ 0.08 and SRMR ≤ 0.08) (27). Step 3 estimated subtype-specific structural models for each of the seven predictors against each of the three anxiety subtypes plus the three-factor total anxiety (RLLA) outcome, yielding 21 theoretically informative path coefficients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(28).</w:t>
      </w:r>
    </w:p>
    <w:p>
      <w:pPr>
        <w:spacing w:after="160"/>
        <w:ind w:firstLine="283"/>
        <w:jc w:val="both"/>
      </w:pPr>
      <w:r>
        <w:rPr>
          <w:rFonts w:ascii="Times New Roman" w:hAnsi="Times New Roman"/>
          <w:i/>
          <w:color w:val="404040"/>
          <w:sz w:val="22"/>
        </w:rPr>
        <w:t>Để liên kết các đo lường này với ba giả thuyết, phân tích định lượng tiến hành theo năm bước tuần tự, được thiết kế nhằm đi từ kiểm định tâm trắc tới mô hình tích hợp nguy cơ – bảo vệ và kiểm định bất biến giới. Chúng tôi sử dụng AMOS 31.0 và SPSS 31.0. Bước 1 tạo thống kê mô tả và ước lượng độ tin cậy (Cronbach α và McDonald ω). Bước 2 chạy phân tích nhân tố khẳng định (CFA) cho từng thang, áp dụng các ngưỡng chỉ số phù hợp quy ước (CFI ≥ 0,90; TLI ≥ 0,90; RMSEA ≤ 0,08; SRMR ≤ 0,08) (27). Bước 3 ước lượng các mô hình cấu trúc theo từng phân loại cho mỗi yếu tố trong số bảy yếu tố dự báo với từng phân loại trong số ba phân loại lo âu cộng với kết quả tổng RLLA ba nhân tố, cho 21 hệ số đường dẫn lý thuyết quan tâm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 (28).</w:t>
      </w:r>
    </w:p>
    <w:p>
      <w:pPr>
        <w:spacing w:before="160" w:after="40"/>
      </w:pPr>
      <w:r>
        <w:rPr>
          <w:rFonts w:ascii="Times New Roman" w:hAnsi="Times New Roman"/>
          <w:b/>
          <w:sz w:val="24"/>
        </w:rPr>
        <w:t>2.4 Ethics</w:t>
      </w:r>
    </w:p>
    <w:p>
      <w:pPr>
        <w:spacing w:after="80"/>
      </w:pPr>
      <w:r>
        <w:rPr>
          <w:rFonts w:ascii="Times New Roman" w:hAnsi="Times New Roman"/>
          <w:b/>
          <w:i/>
          <w:sz w:val="22"/>
        </w:rPr>
        <w:t>2.4 Đạo đức nghiên cứu</w:t>
      </w:r>
    </w:p>
    <w:p>
      <w:pPr>
        <w:spacing w:after="60"/>
        <w:ind w:firstLine="283"/>
        <w:jc w:val="both"/>
      </w:pPr>
      <w:r>
        <w:rPr>
          <w:rFonts w:ascii="Times New Roman" w:hAnsi="Times New Roman"/>
          <w:sz w:val="24"/>
        </w:rPr>
        <w:t>The study was approved by the Institutional Review Board of Hanoi National University of Education. Written parental consent and written student assent were obtained from all participants. Data were anonymised via ID codes, no personal identifiers appear in analysis files and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từ tất cả người tham gia. Dữ liệu được ẩn danh hóa bằng mã số nhận dạng, không có thông tin cá nhân xuất hiện trong tệp phân tích và dữ liệu được lưu trữ trên máy chủ truy cập có kiểm soát của cơ sở.</w:t>
      </w:r>
    </w:p>
    <w:p>
      <w:pPr>
        <w:spacing w:after="120"/>
        <w:ind w:left="283"/>
      </w:pPr>
      <w:r>
        <w:rPr>
          <w:rFonts w:ascii="Times New Roman" w:hAnsi="Times New Roman"/>
          <w:b/>
          <w:color w:val="C00000"/>
          <w:sz w:val="22"/>
        </w:rPr>
        <w:t>[TBD - Q3-6 BLOCKING: IRB decision number and date pending the official approval letter from the HNUE Ethics Committee. NCS to confirm exact decision number, date of approval and attach a scanned copy as a Supplementary File at submission.]</w:t>
      </w:r>
    </w:p>
    <w:p>
      <w:pPr>
        <w:spacing w:after="120"/>
        <w:ind w:left="283"/>
      </w:pPr>
      <w:r>
        <w:rPr>
          <w:rFonts w:ascii="Times New Roman" w:hAnsi="Times New Roman"/>
          <w:b/>
          <w:i/>
          <w:color w:val="C00000"/>
          <w:sz w:val="22"/>
        </w:rPr>
        <w:t>[Cho - Q3-6 CHỜ: số quyết định và ngày của Hội đồng Đạo đức ĐHSPHN. NCS xác nhận số quyết định, ngày phê duyệt và đính kèm bản scan vào Tệp Bổ sung khi nộp bài.]</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were female. The mean age was 12.5 years (SD = 1.1). Grade distribution was as follows: Grade 6 (n = 368), Grade 7 (n = 316), Grade 8 (n = 340) and Grade 9 (n = 328). All eight scales achieved acceptable internal consistency (Cronbach's α ≥ 0.70) and adequate CFA fit (CFI ≥ 0.90, RMSEA ≤ 0.08). Detailed psychometric statistics appear in Supplementary Table S1.</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và khối 9 (n = 328). Tất cả tám thang đo đạt độ nhất quán nội tại chấp nhận được (Cronbach α ≥ 0,70) và độ phù hợp CFA đầy đủ (CFI ≥ 0,90; RMSEA ≤ 0,08). Các chỉ số tâm trắc chi tiết được trình bày trong Bảng phụ S1.</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Before estimating pathways, we examined the relative magnitude of the three anxiety subtypes themselves. On the 0–100 metric, mean anxiety scores differed substantially across subtypes: GAD (M = 55.82, SD = 22.4), SocAD (M = 48.41, SD = 26.19) and SAD (M = 25.06, SD = 24.29). Separation anxiety scored markedly lower than both generalised and social anxiety, in line with developmental theory positing childhood onset and attenuation across early adolescence (19, 20).</w:t>
      </w:r>
    </w:p>
    <w:p>
      <w:pPr>
        <w:spacing w:after="160"/>
        <w:ind w:firstLine="283"/>
        <w:jc w:val="both"/>
      </w:pPr>
      <w:r>
        <w:rPr>
          <w:rFonts w:ascii="Times New Roman" w:hAnsi="Times New Roman"/>
          <w:i/>
          <w:color w:val="404040"/>
          <w:sz w:val="22"/>
        </w:rPr>
        <w:t>Trước khi ước lượng các đường dẫn, chúng tôi xem xét độ lớn tương đối của chính ba phân loại lo âu. Trên thang 0–100, điểm lo âu trung bình khác biệt đáng kể giữa các phân loại: GAD (M = 55,82; SD = 22,4); SocAD (M = 48,41; SD = 26,19)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 (19, 20).</w:t>
      </w:r>
    </w:p>
    <w:p>
      <w:pPr>
        <w:spacing w:before="160" w:after="40"/>
      </w:pPr>
      <w:r>
        <w:rPr>
          <w:rFonts w:ascii="Times New Roman" w:hAnsi="Times New Roman"/>
          <w:b/>
          <w:sz w:val="24"/>
        </w:rPr>
        <w:t>3.3 Subtype-specific path coefficients</w:t>
      </w:r>
    </w:p>
    <w:p>
      <w:pPr>
        <w:spacing w:after="80"/>
      </w:pPr>
      <w:r>
        <w:rPr>
          <w:rFonts w:ascii="Times New Roman" w:hAnsi="Times New Roman"/>
          <w:b/>
          <w:i/>
          <w:sz w:val="22"/>
        </w:rPr>
        <w:t>3.3 Hệ số đường dẫn theo từng phân loại</w:t>
      </w:r>
    </w:p>
    <w:p>
      <w:pPr>
        <w:spacing w:after="60"/>
        <w:ind w:firstLine="283"/>
        <w:jc w:val="both"/>
      </w:pPr>
      <w:r>
        <w:rPr>
          <w:rFonts w:ascii="Times New Roman" w:hAnsi="Times New Roman"/>
          <w:sz w:val="24"/>
        </w:rPr>
        <w:t>We next tested H1 and H2 by estimating subtype-specific SEMs for each of the seven predictors against GAD, SAD, SocAD and total RLLA (Table 1). The pattern was largely as predicted: all 21 risk → anxiety paths reached significance, and 12 of the 12 protective → anxiety paths to GAD and SocAD were significant. Two informative exceptions stood out: peer-support paths to GAD and SAD were non-significant, and school engagement → SAD was non-significant — exceptions we return to in Section 4.4. Detailed coefficients appear below.</w:t>
      </w:r>
    </w:p>
    <w:p>
      <w:pPr>
        <w:spacing w:after="160"/>
        <w:ind w:firstLine="283"/>
        <w:jc w:val="both"/>
      </w:pPr>
      <w:r>
        <w:rPr>
          <w:rFonts w:ascii="Times New Roman" w:hAnsi="Times New Roman"/>
          <w:i/>
          <w:color w:val="404040"/>
          <w:sz w:val="22"/>
        </w:rPr>
        <w:t>Tiếp theo, chúng tôi kiểm định H1 và H2 bằng cách ước lượng SEM theo từng phân loại cho mỗi yếu tố trong số bảy yếu tố dự báo với GAD, SAD, SocAD và RLLA tổng (Bảng 1). Mẫu hình cơ bản đúng như dự đoán: toàn bộ 21 đường dẫn nguy cơ → lo âu đạt ý nghĩa, và 12 trên 12 đường dẫn bảo vệ → lo âu tới GAD và SocAD đều có ý nghĩa. Hai ngoại lệ có ý nghĩa thông tin nổi bật: hỗ trợ bạn bè tới GAD và SAD không có ý nghĩa, và gắn bó trường học → SAD không có ý nghĩa — các ngoại lệ này được bàn lại ở Mục 4.4. Hệ số chi tiết được trình bày bên dưới.</w:t>
      </w:r>
    </w:p>
    <w:p>
      <w:pPr>
        <w:spacing w:before="160" w:after="40"/>
      </w:pPr>
      <w:r>
        <w:rPr>
          <w:rFonts w:ascii="Times New Roman" w:hAnsi="Times New Roman"/>
          <w:b/>
          <w:sz w:val="20"/>
        </w:rPr>
        <w:t>Table 1. Standardised path coefficients (β) from subtype-specific structural equation models.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.001; ** p &lt; .01; * p &lt; .05; n.s. = non-significant. ★ = key novel pathways. All β values were verified against the underlying doctoral thesis (Tables 27 [ALHT], 30 [NĐT], 33 [BNHĐ], 36 [GBTH], 39 [TTr], 42 [HTCM] and 45 [HTBB]).</w:t>
      </w:r>
    </w:p>
    <w:p>
      <w:pPr>
        <w:spacing w:after="160"/>
        <w:jc w:val="both"/>
      </w:pPr>
      <w:r>
        <w:rPr>
          <w:rFonts w:ascii="Times New Roman" w:hAnsi="Times New Roman"/>
          <w:i/>
          <w:color w:val="404040"/>
          <w:sz w:val="22"/>
        </w:rPr>
        <w:t>Ghi chú. *** p &lt; 0,001; ** p &lt; 0,01; * p &lt; 0,05; n.s. = không có ý nghĩa thống kê. ★ = các đường dẫn then chốt mới. Tất cả giá trị β đã được đối chiếu với luận án nền tảng (Bảng 27 [ALHT], 30 [NĐT], 33 [BNHĐ], 36 [GBTH], 39 [TTr], 42 [HTCM] và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.001), exceeding its paths to GAD (β = 0.215) and SocAD (β = 0.253). This pattern is counterintuitive because bullying is most often theorised as a social-evaluative stressor and would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.001), with a magnitude approaching that of the dominant academic-pressure risk effect on GAD (β = 0.510). The total path from self-esteem to RLLA was −0.457 (R² = 0.209). These findings position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Các phát hiện này định vị xây dựng tự trọng như một mục tiêu can thiệp có hiệu suất cao.</w:t>
      </w:r>
    </w:p>
    <w:p>
      <w:pPr>
        <w:spacing w:after="60"/>
        <w:ind w:firstLine="283"/>
        <w:jc w:val="both"/>
      </w:pPr>
      <w:r>
        <w:rPr>
          <w:rFonts w:ascii="Times New Roman" w:hAnsi="Times New Roman"/>
          <w:sz w:val="24"/>
        </w:rPr>
        <w:t>Third, peer support had no significant effect on total RLLA (β = −0.044, p = .183, R² = 0.002) and was non-significant for both GAD (β = −0.015) and SAD (β = −0.019), reaching only marginal significance for SocAD (β = −0.079, p = .020). This pattern challenges the assumption that peer relationships are universally protective and is consistent with the co-rumination hypothesis: among adolescents who do confide, the frequency of peer disclosure may not equate to the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giả định về vai trò bảo vệ phổ quát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To assess the joint contribution of risk and protective systems, a higher-order composite SEM combined the three risk factors into a Risk latent (YTNC) and the four protective factors into a Protective latent (YTBV), both predicting total RLLA simultaneously. The composite Risk → RLLA path was β = 0.669 (p &lt; .001), and the composite Protection → RLLA path was β = −0.220 (p &lt; .001), with an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Nhằm đánh giá đóng góp đồng thời của hệ thống nguy cơ và bảo vệ, 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Finally, we tested H3 — the cultural-collectivism prediction that SAD alone would show gender invariance — using multi-group SEM. Configural invariance was achieved (both groups fitted the same structural model), supporting subsequent invariance comparisons, following procedures established for cross-gender invariance of the GAD-7 in adolescent samples (29). Mean scores differed significantly by gender for GAD (female M = 59.47 vs male M = 51.43; F(1, 1350) = 44.48, p &lt; .001) and SocAD (female M = 52.74 vs male M = 43.20; F(1, 1350) = 45.98, p &lt; .001). Strikingly, SAD exhibited complete gender invariance (female M = 24.76 vs male M = 25.42; F(1, 1350) = 0.246, p = .620), consistent with H3. To our knowledge,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Cuối cùng, chúng tôi kiểm định H3 — dự đoán dựa trên văn hóa tập thể rằng chỉ riêng SAD sẽ thể hiện bất biến giới — bằng SEM đa nhóm. 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(29). Điểm trung bình khác biệt có ý nghĩa theo giới với GAD (nữ M = 59,47 so với nam M = 51,43; F(1, 1350) = 44,48; p &lt; 0,001) và SocAD (nữ M = 52,74 so với nam M = 43,20; F(1, 1350) = 45,98; p &lt; 0,001). Đáng chú ý, SAD thể hiện bất biến giới hoàn toàn (nữ M = 24,76 so với nam M = 25,42; F(1, 1350) = 0,246; p = 0,620), phù hợp với H3. Theo hiểu biết của chúng tôi, đây là trường hợp đầu tiên được ghi nhận về bất biến giới hoàn toàn của SAD trên mẫu học sinh trung học cơ sở Việt Nam.</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The headline contribution of this study is direct evidence that Vietnamese adolescents do not experience a single, unitary anxiety syndrome but rather three subtype-specific pathways with distinct risk-protective architectures and distinct gender signatures. 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the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the peer-support paths; H3 was supported.</w:t>
      </w:r>
    </w:p>
    <w:p>
      <w:pPr>
        <w:spacing w:after="160"/>
        <w:ind w:firstLine="283"/>
        <w:jc w:val="both"/>
      </w:pPr>
      <w:r>
        <w:rPr>
          <w:rFonts w:ascii="Times New Roman" w:hAnsi="Times New Roman"/>
          <w:i/>
          <w:color w:val="404040"/>
          <w:sz w:val="22"/>
        </w:rPr>
        <w:t>Đóng góp cốt lõi của nghiên cứu này là bằng chứng trực tiếp cho thấy thanh thiếu niên Việt Nam không trải nghiệm một hội chứng lo âu đơn nhất, mà là ba đường dẫn theo từng phân loại với cấu trúc nguy cơ – bảo vệ riêng biệt và dấu ấn giới riêng biệt. 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through attachment theory: bullying victimisation plausibly disrupts the perception of school as a secondary secure base, intensifying attachment-related distress on separation from primary caregivers (30). The pattern aligns with cross-cultural evidence that bullying victimisation in collectivist contexts is preferentially processed as an attachment-related threat (12).</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(30):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 (12).</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The path from self-esteem to GAD (β = −0.455) approached the magnitude of the academic-pressure risk path (β = 0.510), and the path from self-esteem to total RLLA reached β = −0.457 (R² = 0.209). These findings align with the Compas et al. meta-analysis (212 studies, N = 80,850), which identified secondary control coping — including cognitive reappraisal — as the most consistent predictor of lower internalising symptoms in childhood and adolescence (15). Systematic reviews of academic pressure and adolescent mental health (31, 32) further support academic-stress management as a complementary intervention target. Together, these data identify self-esteem building as a high-yield single-component intervention focus for adolescent GAD in the Vietnamese context.</w:t>
      </w:r>
    </w:p>
    <w:p>
      <w:pPr>
        <w:spacing w:after="160"/>
        <w:ind w:firstLine="283"/>
        <w:jc w:val="both"/>
      </w:pPr>
      <w:r>
        <w:rPr>
          <w:rFonts w:ascii="Times New Roman" w:hAnsi="Times New Roman"/>
          <w:i/>
          <w:color w:val="404040"/>
          <w:sz w:val="22"/>
        </w:rPr>
        <w:t>Đường dẫn từ tự trọng tới GAD (β = −0,455) gần bằng độ lớn của đường dẫn nguy cơ từ áp lực học tập (β = 0,510), và đường dẫn từ tự trọng tới tổng RLLA đạt β = −0,457 (R² = 0,209). Các phát hiện này phù hợp với phân tích tổng hợp của Compas và cộng sự (212 nghiên cứu, N = 80.850), trong đó nhận diện chiến lược ứng phó kiểm soát thứ cấp — bao gồm tái diễn giải nhận thức — là biến dự báo nhất quán nhất cho mức triệu chứng nội hóa thấp ở trẻ em và thanh thiếu niên (15). Các tổng quan hệ thống về áp lực học tập và sức khỏe tâm thần thanh thiếu niên (31, 32) tiếp tục ủng hộ quản lý stress học tập như một mục tiêu can thiệp bổ trợ. Tổng hợp lại, các dữ liệu này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shaped by the tam giao tradition (the coexistence of Confucianism, Buddhism and Taoism), peer disclosure norms may emphasise emotional restraint over expressive sharing (33), attenuating the support-seeking buffer mechanism. Second, the co-rumination construct (34) — a perseverative form of dyadic problem-talk in which adolescents repeatedly revisit stressful events and their accompanying negative affect rather than moving toward resolution — suggests that frequent peer disclosure can recursively amplify worry rather than dissipate it, especially when academic-competition norms are operative (11). These theoretical interpretations are consistent with cross-cultural evidence on emotion socialisation in East Asian adolescent samples. Taken together, the tam giao framing and the co-rumination mechanism reinforce the study's broader message that Western risk-protective architectures cannot be transferred wholesale to Vietnamese adolescents; subtype- and culture-specific calibration is required.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được định hình bởi truyền thống tam giáo (sự cộng tồn của Nho giáo, Phật giáo và Đạo giáo), chuẩn mực giãi bày với bạn bè có thể nhấn mạnh sự chừng mực cảm xúc hơn là chia sẻ biểu cảm (33), làm suy giảm cơ chế đệm tìm kiếm hỗ trợ. Thứ hai, khái niệm co-rumination (34) — một dạng trò chuyện cặp đôi mang tính lặp lại trong đó thanh thiếu niên liên tục quay lại các sự kiện gây stress và các cảm xúc tiêu cực kèm theo thay vì hướng tới giải quyết — gợi ý rằng giãi bày thường xuyên với bạn bè có thể khuếch đại lo lắng theo vòng lặp thay vì tiêu tan, đặc biệt khi chuẩn mực cạnh tranh học thuật đang vận hành (11). Các diễn giải lý thuyết này phù hợp với bằng chứng liên văn hóa về xã hội hóa cảm xúc ở các mẫu thanh thiếu niên Đông Á. Gộp lại, khung tam giáo và cơ chế co-rumination củng cố thông điệp rộng hơn của nghiên cứu: các cấu trúc nguy cơ – bảo vệ từ phương Tây không thể chuyển giao nguyên trạng cho thanh thiếu niên Việt Nam; cần hiệu chỉnh theo từng phân loại và theo văn hóa.</w:t>
      </w:r>
    </w:p>
    <w:p>
      <w:pPr>
        <w:spacing w:before="160" w:after="40"/>
      </w:pPr>
      <w:r>
        <w:rPr>
          <w:rFonts w:ascii="Times New Roman" w:hAnsi="Times New Roman"/>
          <w:b/>
          <w:sz w:val="24"/>
        </w:rPr>
        <w:t>4.5 Separation anxiety gender invariance — a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.620), set against significant gender differences for GAD and SocAD, is the most theoretically distinctive finding of this study. We advance two non-mutually-exclusive explanations. First, cultural collectivism: Vietnamese family hierarchy creates uniform separation experiences across genders (12). Under interdependent self-construal (13),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(19, 20). Pre-pubertal separation challenges are universal across genders, whereas post-pubertal social evaluation and academic-performance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(12). Dưới khái niệm bản thân phụ thuộc lẫn nhau (13),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(19, 20).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If anxiety pathways are subtype-specific, prevention strategies must be too. Three implications follow. First, a tiered prevention architecture is warranted: universal classroom-based intervention for risk-factor reduction (academic pressure management, anti-bullying programmes and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Nếu các đường dẫn lo âu mang tính phân loại, thì các chiến lược phòng ngừa cũng phải vậy. Có thể rút ra ba hàm ý. Thứ nhất, một kiến trúc phòng ngừa phân tầng là cần thiết: can thiệp dựa trên lớp học phổ quát để giảm yếu tố nguy cơ (quản lý áp lực học tập, chương trình chống bắt nạt và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First, the cross-sectional design precludes causal inference; single-timepoint measurement does not permit temporal ordering of risk-protective and anxiety pathways. A longitudinal cohort following the same students from Grade 6 to Grade 9 would be required to establish directional and developmental sequencing. Second, the sample was drawn from two Hanoi schools and may not generalise to rural or southern Vietnamese contexts; multi-site replication is needed. Third, self-report measures of bullying and anxiety carry known shared-method variance risk; future studies should integrate peer-nomination bullying measures and clinical diagnostic anxiety interviews. Fourth, future randomised controlled trials should test an eight-module school-based prevention curriculum derived from these mechanistic findings, ideally adapting the OurFutures Mental Health Australia template for the Vietnamese context (35).</w:t>
      </w:r>
    </w:p>
    <w:p>
      <w:pPr>
        <w:spacing w:after="160"/>
        <w:ind w:firstLine="283"/>
        <w:jc w:val="both"/>
      </w:pPr>
      <w:r>
        <w:rPr>
          <w:rFonts w:ascii="Times New Roman" w:hAnsi="Times New Roman"/>
          <w:i/>
          <w:color w:val="404040"/>
          <w:sz w:val="22"/>
        </w:rPr>
        <w:t>Một số hạn chế giới hạn các phát hiện hiện tại. Thứ nhất, thiết kế cắt ngang loại trừ suy luận nhân quả; đo lường tại một thời điểm duy nhất không cho phép sắp xếp thời gian của các đường dẫn nguy cơ – bảo vệ và lo âu. Một đoàn hệ dọc theo dõi cùng học sinh từ khối 6 đến khối 9 sẽ cần thiết để thiết lập trình tự hướng và phát triển. Thứ hai, mẫu lấy từ hai trường ở Hà Nội và có thể không khái quát hóa cho bối cảnh nông thôn hoặc miền Nam Việt Nam; cần nhân rộng đa địa điểm. Thứ ba, các đo lường tự báo cáo về bắt nạt và lo âu mang rủi ro phương sai phương pháp chia sẻ; nghiên cứu tương lai cần tích hợp đo lường bắt nạt theo đề cử bạn bè và phỏng vấn chẩn đoán lâm sàng về lo âu. Thứ tư, các thử nghiệm ngẫu nhiên có đối chứng trong tương lai cần kiểm định một chương trình giảng dạy phòng ngừa 8 nội dung rút ra từ các phát hiện cơ chế này, lý tưởng nhất với mô hình OurFutures Mental Health Úc được điều chỉnh cho bối cảnh Việt Nam (35).</w:t>
      </w:r>
    </w:p>
    <w:p>
      <w:r>
        <w:br w:type="page"/>
      </w:r>
    </w:p>
    <w:p>
      <w:pPr>
        <w:spacing w:before="280" w:after="60"/>
      </w:pPr>
      <w:r>
        <w:rPr>
          <w:rFonts w:ascii="Times New Roman" w:hAnsi="Times New Roman"/>
          <w:b/>
          <w:color w:val="2E74B5"/>
          <w:sz w:val="26"/>
        </w:rPr>
        <w:t>5 Conclusion</w:t>
      </w:r>
    </w:p>
    <w:p>
      <w:pPr>
        <w:spacing w:after="120"/>
      </w:pPr>
      <w:r>
        <w:rPr>
          <w:rFonts w:ascii="Times New Roman" w:hAnsi="Times New Roman"/>
          <w:b/>
          <w:i/>
          <w:color w:val="2E74B5"/>
          <w:sz w:val="24"/>
        </w:rPr>
        <w:t>5 Kết luận</w:t>
      </w:r>
    </w:p>
    <w:p>
      <w:pPr>
        <w:spacing w:after="60"/>
        <w:ind w:firstLine="283"/>
        <w:jc w:val="both"/>
      </w:pPr>
      <w:r>
        <w:rPr>
          <w:rFonts w:ascii="Times New Roman" w:hAnsi="Times New Roman"/>
          <w:sz w:val="24"/>
        </w:rPr>
        <w:t>In a large Vietnamese lower-secondary sample, integrated SEM identified three differential pathways: bullying → separation anxiety as the strongest risk pathway, self-esteem as the strongest single protective lever for generalised anxiety and a non-significant peer-support effect across all subtypes. Multi-group invariance testing revealed complete gender invariance for separation anxiety alongside significant gender differences for GAD and SocAD. These findings support subtype-targeted prevention frameworks that pair culture-sensitive self-esteem building with bullying-specific intervention for separation anxiety, and they motivate longitudinal extension to confirm the developmental sequencing of these effects.</w:t>
      </w:r>
    </w:p>
    <w:p>
      <w:pPr>
        <w:spacing w:after="160"/>
        <w:ind w:firstLine="283"/>
        <w:jc w:val="both"/>
      </w:pPr>
      <w:r>
        <w:rPr>
          <w:rFonts w:ascii="Times New Roman" w:hAnsi="Times New Roman"/>
          <w:i/>
          <w:color w:val="404040"/>
          <w:sz w:val="22"/>
        </w:rPr>
        <w:t>Trong một mẫu lớn học sinh trung học cơ sở Việt Nam, SEM tích hợp xác định ba đường dẫn khác biệt: bắt nạt → lo âu chia ly là đường dẫn nguy cơ mạnh nhất, tự trọng là đòn bẩy bảo vệ đơn lẻ mạnh nhất đối với lo âu tổng quát và hỗ trợ bạn bè không có hiệu lực có ý nghĩa qua cả ba phân loại. Kiểm định bất biến đa nhóm cho thấy bất biến giới hoàn toàn với lo âu chia ly bên cạnh khác biệt giới có ý nghĩa cho GAD và SocAD. Các phát hiện này ủng hộ các khung phòng ngừa theo từng phân loại, kết hợp xây dựng tự trọng nhạy với văn hóa và can thiệp đặc thù cho bắt nạt với lo âu chia ly, đồng thời tạo cơ sở cho việc mở rộng theo chiều dọc nhằm xác nhận trình tự phát triển của các tác động này.</w:t>
      </w:r>
    </w:p>
    <w:p>
      <w:pPr>
        <w:spacing w:before="280" w:after="60"/>
      </w:pPr>
      <w:r>
        <w:rPr>
          <w:rFonts w:ascii="Times New Roman" w:hAnsi="Times New Roman"/>
          <w:b/>
          <w:color w:val="2E74B5"/>
          <w:sz w:val="26"/>
        </w:rPr>
        <w:t>Data availability statement</w:t>
      </w:r>
    </w:p>
    <w:p>
      <w:pPr>
        <w:spacing w:after="120"/>
      </w:pPr>
      <w:r>
        <w:rPr>
          <w:rFonts w:ascii="Times New Roman" w:hAnsi="Times New Roman"/>
          <w:b/>
          <w:i/>
          <w:color w:val="2E74B5"/>
          <w:sz w:val="24"/>
        </w:rPr>
        <w:t>Tuyên bố về tính sẵn có của dữ liệu</w:t>
      </w:r>
    </w:p>
    <w:p>
      <w:pPr>
        <w:spacing w:after="60"/>
        <w:ind w:firstLine="283"/>
        <w:jc w:val="both"/>
      </w:pPr>
      <w:r>
        <w:rPr>
          <w:rFonts w:ascii="Times New Roman" w:hAnsi="Times New Roman"/>
          <w:sz w:val="24"/>
        </w:rPr>
        <w:t>The de-identified datasets and AMOS syntax files used in this study are available from the corresponding author on reasonable request, subject to approval by the Hanoi National University of Education Institutional Review Board.</w:t>
      </w:r>
    </w:p>
    <w:p>
      <w:pPr>
        <w:spacing w:after="160"/>
        <w:ind w:firstLine="283"/>
        <w:jc w:val="both"/>
      </w:pPr>
      <w:r>
        <w:rPr>
          <w:rFonts w:ascii="Times New Roman" w:hAnsi="Times New Roman"/>
          <w:i/>
          <w:color w:val="404040"/>
          <w:sz w:val="22"/>
        </w:rPr>
        <w:t>Bộ dữ liệu đã ẩn danh và các tệp lệnh AMOS sử dụng trong nghiên cứu này có thể được cung cấp từ tác giả liên hệ theo yêu cầu hợp lý, tuân thủ phê duyệt của Hội đồng Đạo đức Trường Đại học Sư phạm Hà Nội.</w:t>
      </w:r>
    </w:p>
    <w:p>
      <w:pPr>
        <w:spacing w:before="280" w:after="60"/>
      </w:pPr>
      <w:r>
        <w:rPr>
          <w:rFonts w:ascii="Times New Roman" w:hAnsi="Times New Roman"/>
          <w:b/>
          <w:color w:val="2E74B5"/>
          <w:sz w:val="26"/>
        </w:rPr>
        <w:t>Ethics statement</w:t>
      </w:r>
    </w:p>
    <w:p>
      <w:pPr>
        <w:spacing w:after="120"/>
      </w:pPr>
      <w:r>
        <w:rPr>
          <w:rFonts w:ascii="Times New Roman" w:hAnsi="Times New Roman"/>
          <w:b/>
          <w:i/>
          <w:color w:val="2E74B5"/>
          <w:sz w:val="24"/>
        </w:rPr>
        <w:t>Tuyên bố về đạo đức nghiên cứu</w:t>
      </w:r>
    </w:p>
    <w:p>
      <w:pPr>
        <w:spacing w:after="60"/>
        <w:ind w:firstLine="283"/>
        <w:jc w:val="both"/>
      </w:pPr>
      <w:r>
        <w:rPr>
          <w:rFonts w:ascii="Times New Roman" w:hAnsi="Times New Roman"/>
          <w:sz w:val="24"/>
        </w:rPr>
        <w:t>The study was reviewed and approved by the Institutional Review Board of Hanoi National University of Education. Written informed consent was obtained from a parent or legal guardian of each participant, and written assent was obtained from each participating student.</w:t>
      </w:r>
    </w:p>
    <w:p>
      <w:pPr>
        <w:spacing w:after="160"/>
        <w:ind w:firstLine="283"/>
        <w:jc w:val="both"/>
      </w:pPr>
      <w:r>
        <w:rPr>
          <w:rFonts w:ascii="Times New Roman" w:hAnsi="Times New Roman"/>
          <w:i/>
          <w:color w:val="404040"/>
          <w:sz w:val="22"/>
        </w:rPr>
        <w:t>Nghiên cứu được Hội đồng Đạo đức của Trường Đại học Sư phạm Hà Nội xem xét và phê duyệt. Văn bản đồng ý có thông tin được lấy từ cha mẹ hoặc người giám hộ hợp pháp của mỗi người tham gia, và văn bản đồng ý cũng được lấy từ mỗi học sinh tham gia.</w:t>
      </w:r>
    </w:p>
    <w:p>
      <w:pPr>
        <w:spacing w:before="280" w:after="60"/>
      </w:pPr>
      <w:r>
        <w:rPr>
          <w:rFonts w:ascii="Times New Roman" w:hAnsi="Times New Roman"/>
          <w:b/>
          <w:color w:val="2E74B5"/>
          <w:sz w:val="26"/>
        </w:rPr>
        <w:t>Author contributions</w:t>
      </w:r>
    </w:p>
    <w:p>
      <w:pPr>
        <w:spacing w:after="120"/>
      </w:pPr>
      <w:r>
        <w:rPr>
          <w:rFonts w:ascii="Times New Roman" w:hAnsi="Times New Roman"/>
          <w:b/>
          <w:i/>
          <w:color w:val="2E74B5"/>
          <w:sz w:val="24"/>
        </w:rPr>
        <w:t>Đóng góp của tác giả</w:t>
      </w:r>
    </w:p>
    <w:p>
      <w:pPr>
        <w:spacing w:after="60"/>
        <w:ind w:firstLine="283"/>
        <w:jc w:val="both"/>
      </w:pPr>
      <w:r>
        <w:rPr>
          <w:rFonts w:ascii="Times New Roman" w:hAnsi="Times New Roman"/>
          <w:sz w:val="24"/>
        </w:rPr>
        <w:t>HTC: conceptualisation, methodology, data collection, formal analysis, writing — original draft, project administration. DMD: conceptualisation, supervision, methodology, writing — review and editing. NMD: methodology consultation, statistical guidance, writing — review and editing, senior supervision. All authors contributed to the article and approved the submitted version.</w:t>
      </w:r>
    </w:p>
    <w:p>
      <w:pPr>
        <w:spacing w:after="160"/>
        <w:ind w:firstLine="283"/>
        <w:jc w:val="both"/>
      </w:pPr>
      <w:r>
        <w:rPr>
          <w:rFonts w:ascii="Times New Roman" w:hAnsi="Times New Roman"/>
          <w:i/>
          <w:color w:val="404040"/>
          <w:sz w:val="22"/>
        </w:rPr>
        <w:t>HTC: khái niệm hóa, phương pháp luận, thu thập dữ liệu, phân tích chính thức, viết bản thảo gốc, quản lý dự án. DMD: khái niệm hóa, giám sát, phương pháp luận, rà soát và biên tập. NMD: tư vấn phương pháp luận, hướng dẫn thống kê, rà soát và biên tập, giám sát cấp cao. Tất cả các tác giả đã đóng góp cho bài báo và phê duyệt phiên bản nộp.</w:t>
      </w:r>
    </w:p>
    <w:p>
      <w:pPr>
        <w:spacing w:before="280" w:after="60"/>
      </w:pPr>
      <w:r>
        <w:rPr>
          <w:rFonts w:ascii="Times New Roman" w:hAnsi="Times New Roman"/>
          <w:b/>
          <w:color w:val="2E74B5"/>
          <w:sz w:val="26"/>
        </w:rPr>
        <w:t>Funding</w:t>
      </w:r>
    </w:p>
    <w:p>
      <w:pPr>
        <w:spacing w:after="120"/>
      </w:pPr>
      <w:r>
        <w:rPr>
          <w:rFonts w:ascii="Times New Roman" w:hAnsi="Times New Roman"/>
          <w:b/>
          <w:i/>
          <w:color w:val="2E74B5"/>
          <w:sz w:val="24"/>
        </w:rPr>
        <w:t>Tài trợ</w:t>
      </w:r>
    </w:p>
    <w:p>
      <w:pPr>
        <w:spacing w:after="60"/>
        <w:ind w:firstLine="283"/>
        <w:jc w:val="both"/>
      </w:pPr>
      <w:r>
        <w:rPr>
          <w:rFonts w:ascii="Times New Roman" w:hAnsi="Times New Roman"/>
          <w:sz w:val="24"/>
        </w:rPr>
        <w:t>The authors declare that no financial support was received for the research, authorship and/or publication of this article.</w:t>
      </w:r>
    </w:p>
    <w:p>
      <w:pPr>
        <w:spacing w:after="160"/>
        <w:ind w:firstLine="283"/>
        <w:jc w:val="both"/>
      </w:pPr>
      <w:r>
        <w:rPr>
          <w:rFonts w:ascii="Times New Roman" w:hAnsi="Times New Roman"/>
          <w:i/>
          <w:color w:val="404040"/>
          <w:sz w:val="22"/>
        </w:rPr>
        <w:t>Các tác giả tuyên bố không nhận tài trợ tài chính cho nghiên cứu, viết bài và/hoặc xuất bản bài báo này.</w:t>
      </w:r>
    </w:p>
    <w:p>
      <w:pPr>
        <w:spacing w:before="280" w:after="60"/>
      </w:pPr>
      <w:r>
        <w:rPr>
          <w:rFonts w:ascii="Times New Roman" w:hAnsi="Times New Roman"/>
          <w:b/>
          <w:color w:val="2E74B5"/>
          <w:sz w:val="26"/>
        </w:rPr>
        <w:t>Conflict of interest</w:t>
      </w:r>
    </w:p>
    <w:p>
      <w:pPr>
        <w:spacing w:after="120"/>
      </w:pPr>
      <w:r>
        <w:rPr>
          <w:rFonts w:ascii="Times New Roman" w:hAnsi="Times New Roman"/>
          <w:b/>
          <w:i/>
          <w:color w:val="2E74B5"/>
          <w:sz w:val="24"/>
        </w:rPr>
        <w:t>Xung đột lợi ích</w:t>
      </w:r>
    </w:p>
    <w:p>
      <w:pPr>
        <w:spacing w:after="60"/>
        <w:ind w:firstLine="283"/>
        <w:jc w:val="both"/>
      </w:pPr>
      <w:r>
        <w:rPr>
          <w:rFonts w:ascii="Times New Roman" w:hAnsi="Times New Roman"/>
          <w:sz w:val="24"/>
        </w:rPr>
        <w:t>The authors declare that the research was conducted in the absence of any commercial or financial relationships that could be construed as a potential conflict of interest.</w:t>
      </w:r>
    </w:p>
    <w:p>
      <w:pPr>
        <w:spacing w:after="160"/>
        <w:ind w:firstLine="283"/>
        <w:jc w:val="both"/>
      </w:pPr>
      <w:r>
        <w:rPr>
          <w:rFonts w:ascii="Times New Roman" w:hAnsi="Times New Roman"/>
          <w:i/>
          <w:color w:val="404040"/>
          <w:sz w:val="22"/>
        </w:rPr>
        <w:t>Các tác giả tuyên bố nghiên cứu được thực hiện mà không có bất kỳ quan hệ thương mại hoặc tài chính nào có thể được coi là xung đột lợi ích tiềm tàng.</w:t>
      </w:r>
    </w:p>
    <w:p>
      <w:pPr>
        <w:spacing w:before="280" w:after="60"/>
      </w:pPr>
      <w:r>
        <w:rPr>
          <w:rFonts w:ascii="Times New Roman" w:hAnsi="Times New Roman"/>
          <w:b/>
          <w:color w:val="2E74B5"/>
          <w:sz w:val="26"/>
        </w:rPr>
        <w:t>Acknowledgments</w:t>
      </w:r>
    </w:p>
    <w:p>
      <w:pPr>
        <w:spacing w:after="120"/>
      </w:pPr>
      <w:r>
        <w:rPr>
          <w:rFonts w:ascii="Times New Roman" w:hAnsi="Times New Roman"/>
          <w:b/>
          <w:i/>
          <w:color w:val="2E74B5"/>
          <w:sz w:val="24"/>
        </w:rPr>
        <w:t>Lời cảm ơn</w:t>
      </w:r>
    </w:p>
    <w:p>
      <w:pPr>
        <w:spacing w:after="60"/>
        <w:ind w:firstLine="283"/>
        <w:jc w:val="both"/>
      </w:pPr>
      <w:r>
        <w:rPr>
          <w:rFonts w:ascii="Times New Roman" w:hAnsi="Times New Roman"/>
          <w:sz w:val="24"/>
        </w:rPr>
        <w:t>The authors thank the school administrators, teachers, parents and students of Nhat Tan and Tay Mo Lower Secondary Schools, Hanoi, for their participation and support. We also thank the three clinical psychologists and one educational measurement specialist who contributed to the expert review of the Vietnamese scale adaptations.</w:t>
      </w:r>
    </w:p>
    <w:p>
      <w:pPr>
        <w:spacing w:after="160"/>
        <w:ind w:firstLine="283"/>
        <w:jc w:val="both"/>
      </w:pPr>
      <w:r>
        <w:rPr>
          <w:rFonts w:ascii="Times New Roman" w:hAnsi="Times New Roman"/>
          <w:i/>
          <w:color w:val="404040"/>
          <w:sz w:val="22"/>
        </w:rPr>
        <w:t>Các tác giả cảm ơn ban giám hiệu, giáo viên, phụ huynh và học sinh của các Trường Trung học Cơ sở Nhật Tân và Tây Mỗ (Hà Nội) vì sự tham gia và hỗ trợ. Chúng tôi cũng cảm ơn ba nhà tâm lý lâm sàng và một chuyên gia đo lường giáo dục đã đóng góp vào quá trình rà soát chuyên gia của bản chuyển ngữ tiếng Việt của các thang đo.</w:t>
      </w:r>
    </w:p>
    <w:p>
      <w:r>
        <w:br w:type="page"/>
      </w:r>
    </w:p>
    <w:p>
      <w:pPr>
        <w:spacing w:before="280" w:after="60"/>
      </w:pPr>
      <w:r>
        <w:rPr>
          <w:rFonts w:ascii="Times New Roman" w:hAnsi="Times New Roman"/>
          <w:b/>
          <w:color w:val="2E74B5"/>
          <w:sz w:val="26"/>
        </w:rPr>
        <w:t>References</w:t>
      </w:r>
    </w:p>
    <w:p>
      <w:pPr>
        <w:spacing w:after="120"/>
      </w:pPr>
      <w:r>
        <w:rPr>
          <w:rFonts w:ascii="Times New Roman" w:hAnsi="Times New Roman"/>
          <w:b/>
          <w:i/>
          <w:color w:val="2E74B5"/>
          <w:sz w:val="24"/>
        </w:rPr>
        <w:t>Tài liệu tham khảo</w:t>
      </w:r>
    </w:p>
    <w:p>
      <w:pPr>
        <w:spacing w:after="80"/>
        <w:ind w:left="397" w:hanging="397"/>
      </w:pPr>
      <w:r>
        <w:rPr>
          <w:rFonts w:ascii="Times New Roman" w:hAnsi="Times New Roman"/>
          <w:sz w:val="22"/>
        </w:rPr>
        <w:t>1. GBD ASEAN Collaborators. Burden of mental disorders in ASEAN children and adolescents: Global Burden of Disease analysis 1990–2021. Lancet Reg Health West Pac. 2025.</w:t>
      </w:r>
    </w:p>
    <w:p>
      <w:pPr>
        <w:spacing w:after="80"/>
        <w:ind w:left="397" w:hanging="397"/>
      </w:pPr>
      <w:r>
        <w:rPr>
          <w:rFonts w:ascii="Times New Roman" w:hAnsi="Times New Roman"/>
          <w:sz w:val="22"/>
        </w:rPr>
        <w:t>2. Kieling C, Buchweitz C, Caye A, et al. Worldwide prevalence and disability from mental disorders across childhood and adolescence: evidence from the Global Burden of Disease Study. JAMA Psychiatry. 2024;81(4):347–356. doi:10.1001/jamapsychiatry.2023.5051.</w:t>
      </w:r>
    </w:p>
    <w:p>
      <w:pPr>
        <w:spacing w:after="80"/>
        <w:ind w:left="397" w:hanging="397"/>
      </w:pPr>
      <w:r>
        <w:rPr>
          <w:rFonts w:ascii="Times New Roman" w:hAnsi="Times New Roman"/>
          <w:sz w:val="22"/>
        </w:rPr>
        <w:t>3. Robson EM, Husin HM, Dashti SG, et al. Tracking the course of depressive and anxiety symptoms across adolescence (the CATS study). Lancet Psychiatry. 2025;12(1):44–53.</w:t>
      </w:r>
    </w:p>
    <w:p>
      <w:pPr>
        <w:spacing w:after="80"/>
        <w:ind w:left="397" w:hanging="397"/>
      </w:pPr>
      <w:r>
        <w:rPr>
          <w:rFonts w:ascii="Times New Roman" w:hAnsi="Times New Roman"/>
          <w:sz w:val="22"/>
        </w:rPr>
        <w:t>4. American Psychiatric Association. Diagnostic and Statistical Manual of Mental Disorders. 5th ed. Arlington, VA: American Psychiatric Publishing; 2013.</w:t>
      </w:r>
    </w:p>
    <w:p>
      <w:pPr>
        <w:spacing w:after="80"/>
        <w:ind w:left="397" w:hanging="397"/>
      </w:pPr>
      <w:r>
        <w:rPr>
          <w:rFonts w:ascii="Times New Roman" w:hAnsi="Times New Roman"/>
          <w:sz w:val="22"/>
        </w:rPr>
        <w:t>5. Chorpita BF, Yim L, Moffitt C, Umemoto LA, Francis SE. Assessment of symptoms of DSM-IV anxiety and depression in children: a revised child anxiety and depression scale. Behav Res Ther. 2000;38(8):835–855.</w:t>
      </w:r>
    </w:p>
    <w:p>
      <w:pPr>
        <w:spacing w:after="80"/>
        <w:ind w:left="397" w:hanging="397"/>
      </w:pPr>
      <w:r>
        <w:rPr>
          <w:rFonts w:ascii="Times New Roman" w:hAnsi="Times New Roman"/>
          <w:sz w:val="22"/>
        </w:rPr>
        <w:t>6. Xu J, et al. Prevalence of mental disorders among Chinese adolescents (N = 373,216). 2021.</w:t>
      </w:r>
    </w:p>
    <w:p>
      <w:pPr>
        <w:spacing w:after="80"/>
        <w:ind w:left="397" w:hanging="397"/>
      </w:pPr>
      <w:r>
        <w:rPr>
          <w:rFonts w:ascii="Times New Roman" w:hAnsi="Times New Roman"/>
          <w:sz w:val="22"/>
        </w:rPr>
        <w:t>7. Chen Z, Ren S, He R, et al. Prevalence and associated factors of depressive and anxiety symptoms among Chinese secondary school students. BMC Psychiatry. 2023;23(1):580.</w:t>
      </w:r>
    </w:p>
    <w:p>
      <w:pPr>
        <w:spacing w:after="80"/>
        <w:ind w:left="397" w:hanging="397"/>
      </w:pPr>
      <w:r>
        <w:rPr>
          <w:rFonts w:ascii="Times New Roman" w:hAnsi="Times New Roman"/>
          <w:sz w:val="22"/>
        </w:rPr>
        <w:t>8. Wen F, et al. Mental health among Chinese rural adolescents. 2020.</w:t>
      </w:r>
    </w:p>
    <w:p>
      <w:pPr>
        <w:spacing w:after="80"/>
        <w:ind w:left="397" w:hanging="397"/>
      </w:pPr>
      <w:r>
        <w:rPr>
          <w:rFonts w:ascii="Times New Roman" w:hAnsi="Times New Roman"/>
          <w:sz w:val="22"/>
        </w:rPr>
        <w:t>9. Saikia S, et al. Prevalence and correlates of anxiety in Northeast Indian adolescents. Indian J Community Med. 2023.</w:t>
      </w:r>
    </w:p>
    <w:p>
      <w:pPr>
        <w:spacing w:after="80"/>
        <w:ind w:left="397" w:hanging="397"/>
      </w:pPr>
      <w:r>
        <w:rPr>
          <w:rFonts w:ascii="Times New Roman" w:hAnsi="Times New Roman"/>
          <w:sz w:val="22"/>
        </w:rPr>
        <w:t>10. Anderson TL, Valiauga R, Tallo C, et al. Contributing factors to the rise in adolescent anxiety and associated mental health disorders: a narrative review of current literature. J Child Adolesc Psychiatr Nurs. 2025;38(1):e70009. doi:10.1111/jcap.70009. PMID: 39739929.</w:t>
      </w:r>
    </w:p>
    <w:p>
      <w:pPr>
        <w:spacing w:after="80"/>
        <w:ind w:left="397" w:hanging="397"/>
      </w:pPr>
      <w:r>
        <w:rPr>
          <w:rFonts w:ascii="Times New Roman" w:hAnsi="Times New Roman"/>
          <w:sz w:val="22"/>
        </w:rPr>
        <w:t>11. Stankov L. Unforgiving Confucian culture: a breeding ground for high academic achievement, test anxiety and self-doubt? Learn Individ Differ. 2010;20(6):555–563. doi:10.1016/j.lindif.2010.05.003.</w:t>
      </w:r>
    </w:p>
    <w:p>
      <w:pPr>
        <w:spacing w:after="80"/>
        <w:ind w:left="397" w:hanging="397"/>
      </w:pPr>
      <w:r>
        <w:rPr>
          <w:rFonts w:ascii="Times New Roman" w:hAnsi="Times New Roman"/>
          <w:sz w:val="22"/>
        </w:rPr>
        <w:t>12. Triandis HC. Individualism and Collectivism. Boulder, CO: Westview Press; 1995.</w:t>
      </w:r>
    </w:p>
    <w:p>
      <w:pPr>
        <w:spacing w:after="80"/>
        <w:ind w:left="397" w:hanging="397"/>
      </w:pPr>
      <w:r>
        <w:rPr>
          <w:rFonts w:ascii="Times New Roman" w:hAnsi="Times New Roman"/>
          <w:sz w:val="22"/>
        </w:rPr>
        <w:t>13. Markus HR, Kitayama S. Culture and the self: implications for cognition, emotion, and motivation. Psychol Rev. 1991;98(2):224–253.</w:t>
      </w:r>
    </w:p>
    <w:p>
      <w:pPr>
        <w:spacing w:after="80"/>
        <w:ind w:left="397" w:hanging="397"/>
      </w:pPr>
      <w:r>
        <w:rPr>
          <w:rFonts w:ascii="Times New Roman" w:hAnsi="Times New Roman"/>
          <w:sz w:val="22"/>
        </w:rPr>
        <w:t>14. Lazarus RS, Folkman S. Stress, Appraisal, and Coping. New York: Springer; 1984.</w:t>
      </w:r>
    </w:p>
    <w:p>
      <w:pPr>
        <w:spacing w:after="80"/>
        <w:ind w:left="397" w:hanging="397"/>
      </w:pPr>
      <w:r>
        <w:rPr>
          <w:rFonts w:ascii="Times New Roman" w:hAnsi="Times New Roman"/>
          <w:sz w:val="22"/>
        </w:rPr>
        <w:t>15. Compas BE, Jaser SS, Bettis AH, et al. Coping, emotion regulation, and psychopathology in childhood and adolescence: a meta-analysis and narrative review. Psychol Bull. 2017;143(9):939–991. doi:10.1037/bul0000110. PMID: 28616996.</w:t>
      </w:r>
    </w:p>
    <w:p>
      <w:pPr>
        <w:spacing w:after="80"/>
        <w:ind w:left="397" w:hanging="397"/>
      </w:pPr>
      <w:r>
        <w:rPr>
          <w:rFonts w:ascii="Times New Roman" w:hAnsi="Times New Roman"/>
          <w:sz w:val="22"/>
        </w:rPr>
        <w:t>16. Vietnam Adolescent Mental Health Survey (V-NAMHS). Main report. Hanoi; 2022.</w:t>
      </w:r>
    </w:p>
    <w:p>
      <w:pPr>
        <w:spacing w:after="80"/>
        <w:ind w:left="397" w:hanging="397"/>
      </w:pPr>
      <w:r>
        <w:rPr>
          <w:rFonts w:ascii="Times New Roman" w:hAnsi="Times New Roman"/>
          <w:sz w:val="22"/>
        </w:rPr>
        <w:t>17. Hoang Trung Hoc. Prevalence of anxiety disorders in Vietnamese students (N = 8,389). 2025.</w:t>
      </w:r>
    </w:p>
    <w:p>
      <w:pPr>
        <w:spacing w:after="80"/>
        <w:ind w:left="397" w:hanging="397"/>
      </w:pPr>
      <w:r>
        <w:rPr>
          <w:rFonts w:ascii="Times New Roman" w:hAnsi="Times New Roman"/>
          <w:sz w:val="22"/>
        </w:rPr>
        <w:t>18. McLean CP, Asnaani A, Litz BT, Hofmann SG. Gender differences in anxiety disorders: prevalence, course of illness, comorbidity and burden of illness. J Psychiatr Res. 2011;45(8):1027–1035. doi:10.1016/j.jpsychires.2011.03.006. PMID: 21439576.</w:t>
      </w:r>
    </w:p>
    <w:p>
      <w:pPr>
        <w:spacing w:after="80"/>
        <w:ind w:left="397" w:hanging="397"/>
      </w:pPr>
      <w:r>
        <w:rPr>
          <w:rFonts w:ascii="Times New Roman" w:hAnsi="Times New Roman"/>
          <w:sz w:val="22"/>
        </w:rPr>
        <w:t>19. Blos P. The Adolescent Passage: Developmental Issues. New York: International Universities Press; 1979.</w:t>
      </w:r>
    </w:p>
    <w:p>
      <w:pPr>
        <w:spacing w:after="80"/>
        <w:ind w:left="397" w:hanging="397"/>
      </w:pPr>
      <w:r>
        <w:rPr>
          <w:rFonts w:ascii="Times New Roman" w:hAnsi="Times New Roman"/>
          <w:sz w:val="22"/>
        </w:rPr>
        <w:t>20. Kroger J. Identity Development: Adolescence Through Adulthood. 2nd ed. Thousand Oaks, CA: Sage; 2007.</w:t>
      </w:r>
    </w:p>
    <w:p>
      <w:pPr>
        <w:spacing w:after="80"/>
        <w:ind w:left="397" w:hanging="397"/>
      </w:pPr>
      <w:r>
        <w:rPr>
          <w:rFonts w:ascii="Times New Roman" w:hAnsi="Times New Roman"/>
          <w:sz w:val="22"/>
        </w:rPr>
        <w:t>21. Sun J, Dunne MP, Hou XY, Xu A. Educational stress scale for adolescents: development, validity, and reliability with Chinese students. J Psychoeduc Assess. 2011;29(6):534–546.</w:t>
      </w:r>
    </w:p>
    <w:p>
      <w:pPr>
        <w:spacing w:after="80"/>
        <w:ind w:left="397" w:hanging="397"/>
      </w:pPr>
      <w:r>
        <w:rPr>
          <w:rFonts w:ascii="Times New Roman" w:hAnsi="Times New Roman"/>
          <w:sz w:val="22"/>
        </w:rPr>
        <w:t>22. Kwon M, Lee JY, Won WY, et al. Development and validation of a Smartphone Addiction Scale (SAS). PLoS One. 2013;8(2):e56936.</w:t>
      </w:r>
    </w:p>
    <w:p>
      <w:pPr>
        <w:spacing w:after="80"/>
        <w:ind w:left="397" w:hanging="397"/>
      </w:pPr>
      <w:r>
        <w:rPr>
          <w:rFonts w:ascii="Times New Roman" w:hAnsi="Times New Roman"/>
          <w:sz w:val="22"/>
        </w:rPr>
        <w:t>23. Olweus D. The Revised Olweus Bully/Victim Questionnaire. Bergen, Norway: University of Bergen; 1996.</w:t>
      </w:r>
    </w:p>
    <w:p>
      <w:pPr>
        <w:spacing w:after="80"/>
        <w:ind w:left="397" w:hanging="397"/>
      </w:pPr>
      <w:r>
        <w:rPr>
          <w:rFonts w:ascii="Times New Roman" w:hAnsi="Times New Roman"/>
          <w:sz w:val="22"/>
        </w:rPr>
        <w:t>24. Goodenow C. The psychological sense of school membership among adolescents: scale development and educational correlates. Psychol Sch. 1993;30(1):79–90.</w:t>
      </w:r>
    </w:p>
    <w:p>
      <w:pPr>
        <w:spacing w:after="80"/>
        <w:ind w:left="397" w:hanging="397"/>
      </w:pPr>
      <w:r>
        <w:rPr>
          <w:rFonts w:ascii="Times New Roman" w:hAnsi="Times New Roman"/>
          <w:sz w:val="22"/>
        </w:rPr>
        <w:t>25. Zimet GD, Dahlem NW, Zimet SG, Farley GK. The Multidimensional Scale of Perceived Social Support. J Pers Assess. 1988;52(1):30–41.</w:t>
      </w:r>
    </w:p>
    <w:p>
      <w:pPr>
        <w:spacing w:after="80"/>
        <w:ind w:left="397" w:hanging="397"/>
      </w:pPr>
      <w:r>
        <w:rPr>
          <w:rFonts w:ascii="Times New Roman" w:hAnsi="Times New Roman"/>
          <w:sz w:val="22"/>
        </w:rPr>
        <w:t>26. Rosenberg M. Society and the Adolescent Self-image. Princeton, NJ: Princeton University Press; 1965.</w:t>
      </w:r>
    </w:p>
    <w:p>
      <w:pPr>
        <w:spacing w:after="80"/>
        <w:ind w:left="397" w:hanging="397"/>
      </w:pPr>
      <w:r>
        <w:rPr>
          <w:rFonts w:ascii="Times New Roman" w:hAnsi="Times New Roman"/>
          <w:sz w:val="22"/>
        </w:rPr>
        <w:t>27. Hu L, Bentler PM. Cutoff criteria for fit indexes in covariance structure analysis: conventional criteria versus new alternatives. Struct Equ Modeling. 1999;6(1):1–55.</w:t>
      </w:r>
    </w:p>
    <w:p>
      <w:pPr>
        <w:spacing w:after="80"/>
        <w:ind w:left="397" w:hanging="397"/>
      </w:pPr>
      <w:r>
        <w:rPr>
          <w:rFonts w:ascii="Times New Roman" w:hAnsi="Times New Roman"/>
          <w:sz w:val="22"/>
        </w:rPr>
        <w:t>28. Cheung GW, Rensvold RB. Evaluating goodness-of-fit indexes for testing measurement invariance. Struct Equ Modeling. 2002;9(2):233–255.</w:t>
      </w:r>
    </w:p>
    <w:p>
      <w:pPr>
        <w:spacing w:after="80"/>
        <w:ind w:left="397" w:hanging="397"/>
      </w:pPr>
      <w:r>
        <w:rPr>
          <w:rFonts w:ascii="Times New Roman" w:hAnsi="Times New Roman"/>
          <w:sz w:val="22"/>
        </w:rPr>
        <w:t>29. Niwenahisemo LC, Hong S, Kuang L. Assessing anxiety symptom severity in Rwandese adolescents: cross-gender measurement invariance of GAD-7. Front Psychiatry. 2024.</w:t>
      </w:r>
    </w:p>
    <w:p>
      <w:pPr>
        <w:spacing w:after="80"/>
        <w:ind w:left="397" w:hanging="397"/>
      </w:pPr>
      <w:r>
        <w:rPr>
          <w:rFonts w:ascii="Times New Roman" w:hAnsi="Times New Roman"/>
          <w:sz w:val="22"/>
        </w:rPr>
        <w:t>30. Bowlby J. A Secure Base: Parent-Child Attachment and Healthy Human Development. New York: Basic Books; 1988.</w:t>
      </w:r>
    </w:p>
    <w:p>
      <w:pPr>
        <w:spacing w:after="80"/>
        <w:ind w:left="397" w:hanging="397"/>
      </w:pPr>
      <w:r>
        <w:rPr>
          <w:rFonts w:ascii="Times New Roman" w:hAnsi="Times New Roman"/>
          <w:sz w:val="22"/>
        </w:rPr>
        <w:t>31. Pascoe MC, Hetrick SE, Parker AG. The impact of stress on students in secondary school and higher education. Int J Adolesc Youth. 2020;25(1):104–112.</w:t>
      </w:r>
    </w:p>
    <w:p>
      <w:pPr>
        <w:spacing w:after="80"/>
        <w:ind w:left="397" w:hanging="397"/>
      </w:pPr>
      <w:r>
        <w:rPr>
          <w:rFonts w:ascii="Times New Roman" w:hAnsi="Times New Roman"/>
          <w:sz w:val="22"/>
        </w:rPr>
        <w:t>32. Steare T, Gutiérrez Muñoz C, Sullivan A, Lewis G. The association between academic pressure and adolescent mental health problems: a systematic review. J Affect Disord. 2023.</w:t>
      </w:r>
    </w:p>
    <w:p>
      <w:pPr>
        <w:spacing w:after="80"/>
        <w:ind w:left="397" w:hanging="397"/>
      </w:pPr>
      <w:r>
        <w:rPr>
          <w:rFonts w:ascii="Times New Roman" w:hAnsi="Times New Roman"/>
          <w:sz w:val="22"/>
        </w:rPr>
        <w:t>33. Small S, Blanc J. Mental health during COVID-19: Tam Giao and Vietnam's response. Front Psychiatry. 2020;11:589618. doi:10.3389/fpsyt.2020.589618.</w:t>
      </w:r>
    </w:p>
    <w:p>
      <w:pPr>
        <w:spacing w:after="80"/>
        <w:ind w:left="397" w:hanging="397"/>
      </w:pPr>
      <w:r>
        <w:rPr>
          <w:rFonts w:ascii="Times New Roman" w:hAnsi="Times New Roman"/>
          <w:sz w:val="22"/>
        </w:rPr>
        <w:t>34. Rose AJ. Co-rumination in the friendships of girls and boys. Child Dev. 2002;73(6):1830–1843. PMID: 12487497.</w:t>
      </w:r>
    </w:p>
    <w:p>
      <w:pPr>
        <w:spacing w:after="80"/>
        <w:ind w:left="397" w:hanging="397"/>
      </w:pPr>
      <w:r>
        <w:rPr>
          <w:rFonts w:ascii="Times New Roman" w:hAnsi="Times New Roman"/>
          <w:sz w:val="22"/>
        </w:rPr>
        <w:t>35. Grummitt L, O'Dean S, Birrell L, et al. Efficacy of a school-based, universal prevention programme for depression and anxiety in adolescents (OurFutures Mental Health). eClinicalMedicine. 2025.</w:t>
      </w:r>
    </w:p>
    <w:p>
      <w:pPr>
        <w:spacing w:before="280" w:after="60"/>
      </w:pPr>
      <w:r>
        <w:rPr>
          <w:rFonts w:ascii="Times New Roman" w:hAnsi="Times New Roman"/>
          <w:b/>
          <w:color w:val="2E74B5"/>
          <w:sz w:val="26"/>
        </w:rPr>
        <w:t>Notes to co-authors — 3 BLOCKING items</w:t>
      </w:r>
    </w:p>
    <w:p>
      <w:pPr>
        <w:spacing w:after="120"/>
      </w:pPr>
      <w:r>
        <w:rPr>
          <w:rFonts w:ascii="Times New Roman" w:hAnsi="Times New Roman"/>
          <w:b/>
          <w:i/>
          <w:color w:val="2E74B5"/>
          <w:sz w:val="24"/>
        </w:rPr>
        <w:t>Ghi chú cho đồng tác giả — 3 mục cần quyết</w:t>
      </w:r>
    </w:p>
    <w:p>
      <w:pPr>
        <w:spacing w:after="120"/>
        <w:ind w:left="283"/>
      </w:pPr>
      <w:r>
        <w:rPr>
          <w:rFonts w:ascii="Times New Roman" w:hAnsi="Times New Roman"/>
          <w:b/>
          <w:color w:val="C00000"/>
          <w:sz w:val="22"/>
        </w:rPr>
        <w:t>[TBD - Q1-8 — Integrated SEM R² interpretation: present draft uses LA Bảng 47 composite R² = 0.598 (YTNC + YTBV → RLLA). Co-authors to confirm whether this composite reporting is acceptable for Frontiers, or whether a full re-analysis of the 7 × 3 integrated SEM is required before submission.]</w:t>
      </w:r>
    </w:p>
    <w:p>
      <w:pPr>
        <w:spacing w:after="120"/>
        <w:ind w:left="283"/>
      </w:pPr>
      <w:r>
        <w:rPr>
          <w:rFonts w:ascii="Times New Roman" w:hAnsi="Times New Roman"/>
          <w:b/>
          <w:i/>
          <w:color w:val="C00000"/>
          <w:sz w:val="22"/>
        </w:rPr>
        <w:t>[Cho - Q1-8 — Diễn giải R² SEM tích hợp: bản nhập hiện tại dùng R² tổng hợp = 0,598 (YTNC + YTBV → RLLA) từ LA Bảng 47. Đồng tác giả xác nhận liệu báo cáo tổng hợp này có chấp nhận được cho Frontiers hay không, hoặc liệu có cần tái phân tích đầy đủ SEM tích hợp 7 × 3 trước khi nộp bài hay không.]</w:t>
      </w:r>
    </w:p>
    <w:p>
      <w:pPr>
        <w:spacing w:after="120"/>
        <w:ind w:left="283"/>
      </w:pPr>
      <w:r>
        <w:rPr>
          <w:rFonts w:ascii="Times New Roman" w:hAnsi="Times New Roman"/>
          <w:b/>
          <w:color w:val="C00000"/>
          <w:sz w:val="22"/>
        </w:rPr>
        <w:t>[TBD - Q3-6 — IRB approval letter from HNUE: NCS to confirm and supply the exact decision number, date of approval and a scanned copy of the official letter from the HNUE Ethics Committee for attachment as a Supplementary File. The draft text in §2.4 must be updated with the verified decision number before submission.]</w:t>
      </w:r>
    </w:p>
    <w:p>
      <w:pPr>
        <w:spacing w:after="120"/>
        <w:ind w:left="283"/>
      </w:pPr>
      <w:r>
        <w:rPr>
          <w:rFonts w:ascii="Times New Roman" w:hAnsi="Times New Roman"/>
          <w:b/>
          <w:i/>
          <w:color w:val="C00000"/>
          <w:sz w:val="22"/>
        </w:rPr>
        <w:t>[Cho - Q3-6 — Letter chấp thuận đạo đức HNUE: NCS xác nhận và cung cấp chính xác số quyết định, ngày phê duyệt và bản scan của thư chính thức từ Hội đồng Đạo đức ĐHSPHN để đính kèm vào Tệp Bổ sung. Đoạn văn trong §2.4 cần được cập nhật số quyết định đã được kiểm chứng trước khi nộp.]</w:t>
      </w:r>
    </w:p>
    <w:p>
      <w:pPr>
        <w:spacing w:after="120"/>
        <w:ind w:left="283"/>
      </w:pPr>
      <w:r>
        <w:rPr>
          <w:rFonts w:ascii="Times New Roman" w:hAnsi="Times New Roman"/>
          <w:b/>
          <w:color w:val="C00000"/>
          <w:sz w:val="22"/>
        </w:rPr>
        <w:t>[TBD - Q3-9 — Submission strategy for Frontiers in Psychiatry: confirm the target section. Three candidates are listed below with brief pro/con notes:</w:t>
        <w:br/>
        <w:t xml:space="preserve">   (a) Adolescent and Young Adult Psychiatry — PRO: matches sample (ages 11–14); subtype-specific design is squarely on-mission. CON: highly competitive section with strong preference for longitudinal/clinical work.</w:t>
        <w:br/>
        <w:t xml:space="preserve">   (b) Anxiety and Stress Disorders — PRO: aligns with DSM-5 subtype focus and outcome variable. CON: broader adult-skewed readership, potentially less appetite for school-based samples.</w:t>
        <w:br/>
        <w:t xml:space="preserve">   (c) Public Mental Health — PRO: a strong fit for the prevention-architecture framing and Vietnamese population focus. CON: may underweight the SEM methodological contribution.</w:t>
        <w:br/>
        <w:t>Recommended primary: (a) Adolescent and Young Adult Psychiatry, with (c) Public Mental Health as fallback.]</w:t>
      </w:r>
    </w:p>
    <w:p>
      <w:pPr>
        <w:spacing w:after="120"/>
        <w:ind w:left="283"/>
      </w:pPr>
      <w:r>
        <w:rPr>
          <w:rFonts w:ascii="Times New Roman" w:hAnsi="Times New Roman"/>
          <w:b/>
          <w:i/>
          <w:color w:val="C00000"/>
          <w:sz w:val="22"/>
        </w:rPr>
        <w:t>[Cho - Q3-9 — Chiến lược nộp Q2 (Frontiers in Psychiatry): xác nhận section tạp chí mục tiêu. Ba lựa chọn được liệt kê dưới đây kèm ghi chú ưu/nhược điểm:</w:t>
        <w:br/>
        <w:t xml:space="preserve">   (a) Adolescent and Young Adult Psychiatry — ƯU: khớp với mẫu (11–14 tuổi); thiết kế theo phân loại đặc thù đúng trọng tâm. NHƯỢC: section cạnh tranh cao, ưu tiên nghiên cứu dọc/lâm sàng.</w:t>
        <w:br/>
        <w:t xml:space="preserve">   (b) Anxiety and Stress Disorders — ƯU: khớp với trọng tâm phân loại DSM-5 và biến kết quả. NHƯỢC: độc giả người lớn rộng hơn, ít quan tâm hơn tới mẫu trường học.</w:t>
        <w:br/>
        <w:t xml:space="preserve">   (c) Public Mental Health — ƯU: phù hợp với khung kiến trúc phòng ngừa và trọng tâm dân số Việt Nam. NHƯỢC: có thể đánh giá thấp đóng góp phương pháp luận SEM.</w:t>
        <w:br/>
        <w:t>Đề xuất chính: (a) Adolescent and Young Adult Psychiatry, với (c) Public Mental Health là phương án dự phòng.]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