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Gender-specific pathways to anxiety disorders in early adolescence: A multi-group structural equation model in Vietnamese lower secondary students</w:t>
      </w:r>
    </w:p>
    <w:p>
      <w:pPr>
        <w:jc w:val="center"/>
      </w:pPr>
      <w:r>
        <w:rPr>
          <w:rFonts w:ascii="Times New Roman" w:hAnsi="Times New Roman"/>
          <w:b/>
          <w:i/>
          <w:sz w:val="24"/>
        </w:rPr>
        <w:t>Các đường dẫn đặc thù theo giới đến các rối loạn lo âu ở giai đoạn đầu tuổi vị thành niên: Mô hình phương trình cấu trúc đa nhóm trên học sinh trung học cơ sở Việt Nam</w:t>
      </w:r>
    </w:p>
    <w:p>
      <w:pPr>
        <w:jc w:val="center"/>
      </w:pPr>
      <w:r>
        <w:rPr>
          <w:rFonts w:ascii="Times New Roman" w:hAnsi="Times New Roman"/>
          <w:i/>
          <w:color w:val="808080"/>
          <w:sz w:val="20"/>
        </w:rPr>
        <w:t>Cong Thi Hang [first author]; [Nguyen Minh Duc]; Hai-Nguyen Minh</w:t>
        <w:br/>
        <w:t>Faculty of Psychology and Education, Hanoi National University of Education</w:t>
        <w:br/>
        <w:t>Target journal: Frontiers in Psychiatry — Adolescent and Young Adult Psychiatry section</w:t>
        <w:br/>
        <w:t>Bản thảo đầy đủ song ngữ Anh-Việt phiên bản 1 — soạn 08/06/2026</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Adolescent anxiety disorders are consistently more prevalent among girls than boys in international epidemiological studies, with the gender gap emerging around puberty. However, the largest cross-national study to date — Jefferies &amp; Ungar (2020), with 6,825 participants aged 16-29 across seven countries — found no overall gender difference in Social Anxiety Disorder among young adults. Our preliminary data on 1,352 Vietnamese lower secondary students (ages 11-14) show female-higher scores on SAD, raising a central research question: are the risk-protective pathways that predict anxiety invariant across gender in early adolescence?</w:t>
      </w:r>
    </w:p>
    <w:p>
      <w:pPr>
        <w:spacing w:after="160"/>
        <w:ind w:firstLine="283" w:left="170"/>
        <w:jc w:val="both"/>
      </w:pPr>
      <w:r>
        <w:rPr>
          <w:rFonts w:ascii="Times New Roman" w:hAnsi="Times New Roman"/>
          <w:i/>
          <w:color w:val="333333"/>
          <w:sz w:val="22"/>
        </w:rPr>
        <w:t>Các rối loạn lo âu ở tuổi vị thành niên thường xuyên xảy ra phổ biến hơn ở nữ so với nam trong các nghiên cứu dịch tễ quốc tế, với khoảng cách giới xuất hiện quanh tuổi dậy thì. Tuy nhiên, nghiên cứu xuyên quốc gia lớn nhất đến nay — Jefferies &amp; Ungar (2020) với 6.825 người tham gia tuổi 16-29 trên bảy quốc gia — không tìm thấy khác biệt giới tổng thể về Rối loạn Lo âu Xã hội ở thanh niên. Dữ liệu sơ bộ của chúng tôi trên 1.352 học sinh trung học cơ sở Việt Nam (tuổi 11-14) cho thấy điểm SAD của nữ cao hơn nam, đặt ra câu hỏi nghiên cứu cốt lõi: liệu các đường dẫn nguy cơ-bảo vệ dự đoán lo âu có giữ nguyên giữa hai giới ở giai đoạn đầu tuổi vị thành niên không?</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(614 boys, 738 girls; ages 11-14) recruited from two schools in Hanoi (Nhat Tan urban, Tay Mo suburban). Eight validated scales measured three risk factors (bullying victimization, academic stress, smartphone addiction), four protective factors (school membership, parental support, peer support, self-esteem), and three DSM-5 anxiety subtypes (Generalized Anxiety, Social Anxiety, Separation Anxiety). Multi-group structural equation modeling tested measurement invariance (configural, metric, scalar) and structural invariance of 21 hypothesized pathways. Criteria: ΔCFI ≤ 0.01 (Cheung &amp; Rensvold 2002), ΔRMSEA ≤ 0.015 (Chen 2007). Pre-registered on OSF prior to analysis.</w:t>
      </w:r>
    </w:p>
    <w:p>
      <w:pPr>
        <w:spacing w:after="160"/>
        <w:ind w:firstLine="283" w:left="170"/>
        <w:jc w:val="both"/>
      </w:pPr>
      <w:r>
        <w:rPr>
          <w:rFonts w:ascii="Times New Roman" w:hAnsi="Times New Roman"/>
          <w:i/>
          <w:color w:val="333333"/>
          <w:sz w:val="22"/>
        </w:rPr>
        <w:t>Khảo sát cắt ngang trên 1.352 học sinh trung học cơ sở Việt Nam (614 nam, 738 nữ; tuổi 11-14), tuyển từ hai trường tại Hà Nội (Nhật Tân đô thị, Tây Mỗ ngoại ô). Tám thang đo đã chuẩn hóa đo lường ba yếu tố nguy cơ (bị bắt nạt, áp lực học tập, nghiện điện thoại), bốn yếu tố bảo vệ (sự gắn bó với trường, sự hỗ trợ từ cha mẹ, sự hỗ trợ từ bạn bè, lòng tự trọng), và ba phân loại lo âu theo DSM-5 (Lo âu Lan tỏa, Lo âu Xã hội, Lo âu Chia ly). Mô hình phương trình cấu trúc đa nhóm kiểm chứng bất biến thang đo (bất biến cấu hình, bất biến hệ số tải, bất biến ngưỡng) và bất biến cấu trúc của 21 đường dẫn đã giả thuyết. Tiêu chí: ΔCFI ≤ 0,01 (Cheung &amp; Rensvold 2002), ΔRMSEA ≤ 0,015 (Chen 2007). Đăng ký trước trên nền tảng OSF trước khi phân tích.</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Measurement invariance is expected to be supported at all three levels. For structural invariance, we anticipate identifying a subset of non-invariant pathways — particularly bullying → SAD (stronger in girls based on developmental theory; exact β values await analysis). Effect sizes (β, 95% CI) and z-tests of cross-gender coefficient differences will be reported for all 21 pathways. R² will be reported separately for boys and girls (vs pooled R² = 0.598 from our preceding Q2 paper).</w:t>
      </w:r>
    </w:p>
    <w:p>
      <w:pPr>
        <w:spacing w:after="160"/>
        <w:ind w:firstLine="283" w:left="170"/>
        <w:jc w:val="both"/>
      </w:pPr>
      <w:r>
        <w:rPr>
          <w:rFonts w:ascii="Times New Roman" w:hAnsi="Times New Roman"/>
          <w:i/>
          <w:color w:val="333333"/>
          <w:sz w:val="22"/>
        </w:rPr>
        <w:t>Bất biến thang đo dự kiến được hỗ trợ ở cả ba cấp. Về bất biến cấu trúc, chúng tôi dự đoán nhận diện được một nhóm đường dẫn không bất biến — đặc biệt bị bắt nạt → SAD (mạnh hơn ở nữ dựa trên lý thuyết phát triển; giá trị β chính xác chờ phân tích). Hệ số ảnh hưởng (β, khoảng tin cậy 95%) và kiểm định z so sánh chênh lệch hệ số giữa hai giới sẽ được báo cáo cho cả 21 đường dẫn. R² sẽ được báo cáo riêng cho nam và nữ (so với R² mẫu gộp = 0,598 từ bài Q2 trước đó của chúng tôi).</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findings will inform gender-tailored prevention programs in Vietnamese schools and reconcile the discrepancy between our sample and Jefferies &amp; Ungar (2020) through a developmental-cultural framework. Three theoretical mechanisms are advanced: (i) developmental peak vulnerability at ages 11-14, (ii) Confucian-Vietnamese gender expectations amplifying social-evaluative anxiety in girls, and (iii) tam giao (three teachings) emotional restraint norms shaping gendered SAD expression.</w:t>
      </w:r>
    </w:p>
    <w:p>
      <w:pPr>
        <w:spacing w:after="160"/>
        <w:ind w:firstLine="283" w:left="170"/>
        <w:jc w:val="both"/>
      </w:pPr>
      <w:r>
        <w:rPr>
          <w:rFonts w:ascii="Times New Roman" w:hAnsi="Times New Roman"/>
          <w:i/>
          <w:color w:val="333333"/>
          <w:sz w:val="22"/>
        </w:rPr>
        <w:t>Các phát hiện sẽ cung cấp thông tin cho các chương trình phòng ngừa đặc thù theo giới ở trường học Việt Nam và lý giải sự khác biệt giữa mẫu của chúng tôi với Jefferies &amp; Ungar (2020) thông qua khung lý thuyết phát triển-văn hóa. Ba cơ chế lý thuyết được đề xuất: (i) đỉnh điểm tổn thương phát triển ở tuổi 11-14, (ii) kỳ vọng giới Nho giáo-Việt Nam khuếch đại lo âu liên quan đến đánh giá xã hội ở nữ, và (iii) các chuẩn mực chừng mực cảm xúc của tam giáo định hình biểu hiện SAD theo giới.</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adolescent anxiety; gender differences; multi-group SEM; measurement invariance; Vietnam; Confucian culture; tam giao; co-rumination</w:t>
      </w:r>
    </w:p>
    <w:p>
      <w:pPr>
        <w:spacing w:after="160"/>
        <w:ind w:firstLine="283" w:left="170"/>
        <w:jc w:val="both"/>
      </w:pPr>
      <w:r>
        <w:rPr>
          <w:rFonts w:ascii="Times New Roman" w:hAnsi="Times New Roman"/>
          <w:i/>
          <w:color w:val="333333"/>
          <w:sz w:val="22"/>
        </w:rPr>
        <w:t>lo âu vị thành niên; khác biệt giới; SEM đa nhóm; bất biến thang đo; Việt Nam; văn hóa Nho giáo; tam giáo; cùng nhau day dứt (co-rumination)</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The gender paradox in adolescent anxiety / Nghịch lý giới trong lo âu vị thành niên</w:t>
      </w:r>
    </w:p>
    <w:p>
      <w:pPr>
        <w:spacing w:after="80"/>
        <w:ind w:firstLine="283"/>
        <w:jc w:val="both"/>
      </w:pPr>
      <w:r>
        <w:rPr>
          <w:rFonts w:ascii="Times New Roman" w:hAnsi="Times New Roman"/>
          <w:sz w:val="22"/>
        </w:rPr>
        <w:t>Anxiety disorders are among the most common mental health conditions in adolescence, affecting approximately 8-12% of youth worldwide. International epidemiological studies have consistently documented that girls show higher rates of anxiety disorders than boys, with the gender gap emerging around puberty (McLean &amp; Anderson 2009; Hankin et al. 2007). The U.S. National Comorbidity Survey Replication reported that approximately half of all lifetime anxiety disorders have an onset by age 14 (Kessler et al. 2005), and girls reach peak vulnerability earlier than boys. Mô hình vững finding has motivated decades of research into the developmental and biopsychosocial mechanisms underlying gendered patterns of anxiety risk.</w:t>
      </w:r>
    </w:p>
    <w:p>
      <w:pPr>
        <w:spacing w:after="160"/>
        <w:ind w:firstLine="283" w:left="170"/>
        <w:jc w:val="both"/>
      </w:pPr>
      <w:r>
        <w:rPr>
          <w:rFonts w:ascii="Times New Roman" w:hAnsi="Times New Roman"/>
          <w:i/>
          <w:color w:val="333333"/>
          <w:sz w:val="22"/>
        </w:rPr>
        <w:t>Các rối loạn lo âu là một trong những vấn đề sức khỏe tâm thần phổ biến nhất ở tuổi vị thành niên, ảnh hưởng đến khoảng 8-12% thanh thiếu niên trên toàn thế giới. Các nghiên cứu dịch tễ quốc tế đã ghi nhận thường xuyên rằng nữ có tỷ lệ mắc các rối loạn lo âu cao hơn nam, với khoảng cách giới xuất hiện quanh tuổi dậy thì (McLean &amp; Anderson 2009; Hankin và cs. 2007). Khảo sát Phối hợp Quốc gia Hoa Kỳ (NCS-R) báo cáo rằng khoảng một nửa số ca rối loạn lo âu trong đời khởi phát trước 14 tuổi (Kessler và cs. 2005), và nữ đạt đỉnh tổn thương sớm hơn nam. Phát hiện vững chắc này đã thúc đẩy hàng thập kỷ nghiên cứu về các cơ chế phát triển và sinh-tâm-xã hội ẩn dưới các mô hình giới của nguy cơ lo âu.</w:t>
      </w:r>
    </w:p>
    <w:p>
      <w:pPr>
        <w:spacing w:after="80"/>
        <w:ind w:firstLine="283"/>
        <w:jc w:val="both"/>
      </w:pPr>
      <w:r>
        <w:rPr>
          <w:rFonts w:ascii="Times New Roman" w:hAnsi="Times New Roman"/>
          <w:sz w:val="22"/>
        </w:rPr>
        <w:t>However, this gender-difference pattern does not consistently replicate in all studies. Jefferies &amp; Ungar (2020) conducted the largest cross-national study of Social Anxiety Disorder (SAD) to date, surveying 6,825 young adults aged 16-29 across seven countries (Australia, Brazil, China, Indonesia, Russia, USA, Vietnam) using the Social Interaction Anxiety Scale. Strikingly, they found no overall gender effect on SAD in the pooled cross-national sample. Two interpretations are possible. Either gender differences in social anxiety genuinely disappear by young adulthood, or methodological and contextual factors obscured the difference in their sample. Distinguishing these interpretations requires testing in younger adolescent cohorts where the gender gap should still be detectable.</w:t>
      </w:r>
    </w:p>
    <w:p>
      <w:pPr>
        <w:spacing w:after="160"/>
        <w:ind w:firstLine="283" w:left="170"/>
        <w:jc w:val="both"/>
      </w:pPr>
      <w:r>
        <w:rPr>
          <w:rFonts w:ascii="Times New Roman" w:hAnsi="Times New Roman"/>
          <w:i/>
          <w:color w:val="333333"/>
          <w:sz w:val="22"/>
        </w:rPr>
        <w:t>Tuy nhiên, mô hình khác biệt giới này không nhất quán trong tất cả các nghiên cứu. Jefferies &amp; Ungar (2020) tiến hành nghiên cứu xuyên quốc gia lớn nhất về Rối loạn Lo âu Xã hội (SAD) đến nay, khảo sát 6.825 thanh niên tuổi 16-29 trên bảy quốc gia (Úc, Brazil, Trung Quốc, Indonesia, Nga, Mỹ, Việt Nam) sử dụng Thang Lo âu Tương tác Xã hội (SIAS). Đáng chú ý, họ không tìm thấy hiệu ứng giới tổng thể trên SAD trong mẫu gộp xuyên quốc gia. Có hai cách diễn giải. Hoặc khác biệt giới trong lo âu xã hội thực sự biến mất khi đến tuổi thanh niên, hoặc các yếu tố phương pháp và bối cảnh đã che giấu khác biệt trong mẫu của họ. Phân biệt hai cách diễn giải này đòi hỏi phải kiểm chứng trong các cohort vị thành niên trẻ tuổi hơn, nơi khoảng cách giới vẫn còn phát hiện được.</w:t>
      </w:r>
    </w:p>
    <w:p>
      <w:pPr>
        <w:spacing w:before="200" w:after="80"/>
      </w:pPr>
      <w:r>
        <w:rPr>
          <w:rFonts w:ascii="Times New Roman" w:hAnsi="Times New Roman"/>
          <w:b/>
          <w:color w:val="2E74B5"/>
          <w:sz w:val="24"/>
        </w:rPr>
        <w:t>1.2. Three explanations for the discrepancy / Ba lời giải cho khác biệt</w:t>
      </w:r>
    </w:p>
    <w:p>
      <w:pPr>
        <w:spacing w:after="80"/>
        <w:ind w:firstLine="283"/>
        <w:jc w:val="both"/>
      </w:pPr>
      <w:r>
        <w:rPr>
          <w:rFonts w:ascii="Times New Roman" w:hAnsi="Times New Roman"/>
          <w:sz w:val="22"/>
        </w:rPr>
        <w:t>Có ba cơ chế lý thuyết — đứng riêng lẻ hoặc kết hợp — có thể lý giải tại sao khác biệt giới về lo âu xuất hiện rõ ở giai đoạn đầu tuổi vị thành niên (11-14) rồi mờ đi hoặc biến mất ở giai đoạn thanh niên (16-29). Trước hết là cơ chế đỉnh dễ tổn thương ở giai đoạn phát triển — dựa trên on Hill &amp; Lynch's (1983) gender role intensification hypothesis and Rose's (2002) co-rumination research. Both phenomena reach their highest expression in middle school years (approximately ages 11-14), creating a developmental window in which girls become especially vulnerable to social-evaluative anxiety. Gender role intensification refers to the increased pressure adolescent girls face to conform to feminine norms (passivity, agreeableness, appearance focus). Co-rumination refers to the tendency of female adolescent friendships to dwell repeatedly on shared worries — a pattern that can intensify anxiety even while strengthening friendship bonds.</w:t>
      </w:r>
    </w:p>
    <w:p>
      <w:pPr>
        <w:spacing w:after="160"/>
        <w:ind w:firstLine="283" w:left="170"/>
        <w:jc w:val="both"/>
      </w:pPr>
      <w:r>
        <w:rPr>
          <w:rFonts w:ascii="Times New Roman" w:hAnsi="Times New Roman"/>
          <w:i/>
          <w:color w:val="333333"/>
          <w:sz w:val="22"/>
        </w:rPr>
        <w:t>Chúng tôi đề xuất ba cơ chế lý thuyết — riêng lẻ hoặc kết hợp — có thể giải thích vì sao khác biệt giới trong lo âu xuất hiện ở giai đoạn đầu tuổi vị thành niên (11-14) nhưng biến mất hoặc giảm đi ở giai đoạn thanh niên (16-29). Cơ chế thứ nhất — đỉnh điểm tổn thương phát triển — dựa trên giả thuyết gia tăng vai trò giới của Hill &amp; Lynch (1983) và nghiên cứu co-rumination của Rose (2002). Cả hai hiện tượng đều đạt biểu hiện cao nhất trong những năm trung học cơ sở (khoảng 11-14 tuổi), tạo ra một cửa sổ phát triển trong đó nữ trở nên đặc biệt dễ tổn thương trước lo âu liên quan đến đánh giá xã hội. Gia tăng vai trò giới chỉ áp lực ngày càng tăng mà nữ vị thành niên phải tuân theo các chuẩn mực nữ tính (thụ động, dễ chiều, chú trọng ngoại hình). Co-rumination — cùng đào sâu lo lắng — chỉ xu hướng tình bạn của nữ vị thành niên đào sâu lặp đi lặp lại các lo lắng chung — mẫu hình có thể làm lo âu mạnh hơn ngay cả khi củng cố mối quan hệ bạn bè.</w:t>
      </w:r>
    </w:p>
    <w:p>
      <w:pPr>
        <w:spacing w:after="80"/>
        <w:ind w:firstLine="283"/>
        <w:jc w:val="both"/>
      </w:pPr>
      <w:r>
        <w:rPr>
          <w:rFonts w:ascii="Times New Roman" w:hAnsi="Times New Roman"/>
          <w:sz w:val="22"/>
        </w:rPr>
        <w:t>The second mechanism — cultural moderation — proposes that Confucian academic culture in East Asia, particularly in Vietnam, imposes stricter gender expectations on girls than Western contexts do. Stankov (2010) documented that Confucian-heritage students experience high academic achievement coupled with elevated test anxiety and self-doubt; this pattern is especially pronounced in girls who face dual pressure to excel academically and to conform to traditional female roles. Small &amp; Blanc (2021) further documented how the integrated worldview of tam giao (three teachings: Buddhism, Confucianism, and Taoism) shapes distinctively Vietnamese norms of emotional restraint and self-disclosure, with gendered implications for how anxiety is experienced and expressed.</w:t>
      </w:r>
    </w:p>
    <w:p>
      <w:pPr>
        <w:spacing w:after="160"/>
        <w:ind w:firstLine="283" w:left="170"/>
        <w:jc w:val="both"/>
      </w:pPr>
      <w:r>
        <w:rPr>
          <w:rFonts w:ascii="Times New Roman" w:hAnsi="Times New Roman"/>
          <w:i/>
          <w:color w:val="333333"/>
          <w:sz w:val="22"/>
        </w:rPr>
        <w:t>Cơ chế thứ hai — sự điều tiết bởi văn hóa — cho rằng văn hóa học thuật Nho giáo ở Đông Á, đặc biệt ở Việt Nam, áp đặt kỳ vọng giới khắt khe hơn lên nữ so với các bối cảnh phương Tây. Stankov (2010) ghi nhận rằng học sinh thừa hưởng di sản Nho giáo trải qua thành tích học tập cao kèm theo lo âu thi cử và tự nghi ngờ tăng cao; mô hình này đặc biệt rõ rệt ở nữ — những người chịu áp lực kép phải xuất sắc về học tập và phải tuân theo các vai trò nữ truyền thống. Small &amp; Blanc (2021) tiếp tục ghi nhận cách thế giới quan tích hợp của tam giáo (ba giáo lý: Phật, Nho, Đạo) định hình các chuẩn mực chừng mực cảm xúc và bộc lộ bản thân đặc thù Việt Nam, với các hàm ý theo giới về cách lo âu được trải nghiệm và biểu đạt.</w:t>
      </w:r>
    </w:p>
    <w:p>
      <w:pPr>
        <w:spacing w:after="80"/>
        <w:ind w:firstLine="283"/>
        <w:jc w:val="both"/>
      </w:pPr>
      <w:r>
        <w:rPr>
          <w:rFonts w:ascii="Times New Roman" w:hAnsi="Times New Roman"/>
          <w:sz w:val="22"/>
        </w:rPr>
        <w:t>The third mechanism — methodological artifacts — points to differences in instrument context, sampling, and analytic pooling that may distinguish school-based adolescent surveys from market-panel young adult surveys. Adolescents completing questionnaires in classroom contexts may report differently than young adults responding to online market panels. Sample selection biases (who joins a market panel, who is present at school) may also differ. Finally, pooling young adults across a 13-year age range (16-29) may dilute gender effects that would be detectable within narrower age bands.</w:t>
      </w:r>
    </w:p>
    <w:p>
      <w:pPr>
        <w:spacing w:after="160"/>
        <w:ind w:firstLine="283" w:left="170"/>
        <w:jc w:val="both"/>
      </w:pPr>
      <w:r>
        <w:rPr>
          <w:rFonts w:ascii="Times New Roman" w:hAnsi="Times New Roman"/>
          <w:i/>
          <w:color w:val="333333"/>
          <w:sz w:val="22"/>
        </w:rPr>
        <w:t>Cơ chế thứ ba — sai số do phương pháp — chỉ các khác biệt về bối cảnh công cụ, chọn mẫu, và gộp phân tích có thể phân biệt khảo sát vị thành niên tại trường với khảo sát thanh niên qua hội đoàn trực tuyến. Vị thành niên trả lời câu hỏi trong bối cảnh lớp học có thể báo cáo khác với thanh niên trả lời hội đoàn trực tuyến. Sai lệch chọn mẫu (ai tham gia hội đoàn, ai có mặt tại trường) cũng có thể khác nhau. Cuối cùng, gộp thanh niên qua khoảng tuổi 13 năm (16-29) có thể làm loãng các hiệu ứng giới có thể phát hiện trong các dải tuổi hẹp hơn.</w:t>
      </w:r>
    </w:p>
    <w:p>
      <w:pPr>
        <w:spacing w:before="200" w:after="80"/>
      </w:pPr>
      <w:r>
        <w:rPr>
          <w:rFonts w:ascii="Times New Roman" w:hAnsi="Times New Roman"/>
          <w:b/>
          <w:color w:val="2E74B5"/>
          <w:sz w:val="24"/>
        </w:rPr>
        <w:t>1.3. Why multi-group SEM is the right tool / Vì sao chọn SEM đa nhóm</w:t>
      </w:r>
    </w:p>
    <w:p>
      <w:pPr>
        <w:spacing w:after="80"/>
        <w:ind w:firstLine="283"/>
        <w:jc w:val="both"/>
      </w:pPr>
      <w:r>
        <w:rPr>
          <w:rFonts w:ascii="Times New Roman" w:hAnsi="Times New Roman"/>
          <w:sz w:val="22"/>
        </w:rPr>
        <w:t>Conventional gender comparison methods — independent t-tests or ANOVA on total anxiety scores — can detect mean differences between boys and girls, but they cannot test whether the entire risk-protective MECHANISM differs across gender. Multi-group structural equation modeling (SEM) goes further by simultaneously testing two related but distinct questions. First, measurement invariance: do the eight psychological scales actually measure the same underlying construct in both boys and girls? This is a precondition for any valid cross-gender comparison; if girls and boys respond to the same items in fundamentally different ways, we cannot meaningfully compare their pathway coefficients. Second, structural invariance: do the pathway coefficients (β) connecting each risk and protective factor to each anxiety outcome differ in magnitude or direction across gender?</w:t>
      </w:r>
    </w:p>
    <w:p>
      <w:pPr>
        <w:spacing w:after="160"/>
        <w:ind w:firstLine="283" w:left="170"/>
        <w:jc w:val="both"/>
      </w:pPr>
      <w:r>
        <w:rPr>
          <w:rFonts w:ascii="Times New Roman" w:hAnsi="Times New Roman"/>
          <w:i/>
          <w:color w:val="333333"/>
          <w:sz w:val="22"/>
        </w:rPr>
        <w:t>Các phương pháp so sánh giới thông thường — kiểm định t độc lập hay ANOVA trên điểm lo âu tổng — có thể phát hiện được khác biệt trung bình giữa nam và nữ, nhưng không kiểm chứng được liệu toàn bộ CƠ CHẾ nguy cơ-bảo vệ có khác biệt theo giới hay không. Mô hình phương trình cấu trúc đa nhóm (SEM) đi xa hơn bằng cách đồng thời kiểm chứng hai câu hỏi liên quan nhưng riêng biệt. Thứ nhất, bất biến thang đo: liệu tám thang tâm lý có thực sự đo cùng một cấu trúc tiềm ẩn ở cả nam và nữ không? Đây là điều kiện tiên quyết cho mọi so sánh chéo giới có giá trị; nếu nữ và nam trả lời cùng các mục theo những cách khác biệt cơ bản, chúng tôi không thể so sánh có ý nghĩa các hệ số đường dẫn của họ. Thứ hai, bất biến cấu trúc: liệu các hệ số đường dẫn (β) nối mỗi yếu tố nguy cơ và bảo vệ với mỗi kết quả lo âu có khác biệt về độ lớn hay dấu giữa nam và nữ?</w:t>
      </w:r>
    </w:p>
    <w:p>
      <w:pPr>
        <w:spacing w:after="80"/>
        <w:ind w:firstLine="283"/>
        <w:jc w:val="both"/>
      </w:pPr>
      <w:r>
        <w:rPr>
          <w:rFonts w:ascii="Times New Roman" w:hAnsi="Times New Roman"/>
          <w:sz w:val="22"/>
        </w:rPr>
        <w:t>Hai kiểm định này chỉ rõ ở đường dẫn nào giới có vai trò, ở đường dẫn nào không có. Đây là thông tin có giá trị thực tế hơn hẳn so với chỉ báo cáo "nữ có điểm trung bình cao hơn". Chẳng hạn, nếu measurement is invariant but the bullying → SAD pathway is stronger in girls, this implies that the SAME experience of being bullied translates into more severe social anxiety symptoms for girls — a finding with direct practical implications for intervention design. By contrast, if bullying → SAD is equivalent across gender but girls simply experience more bullying, the implication is different — reducing bullying exposure would close the gap. Multi-group SEM can distinguish these alternatives; t-tests cannot.</w:t>
      </w:r>
    </w:p>
    <w:p>
      <w:pPr>
        <w:spacing w:after="160"/>
        <w:ind w:firstLine="283" w:left="170"/>
        <w:jc w:val="both"/>
      </w:pPr>
      <w:r>
        <w:rPr>
          <w:rFonts w:ascii="Times New Roman" w:hAnsi="Times New Roman"/>
          <w:i/>
          <w:color w:val="333333"/>
          <w:sz w:val="22"/>
        </w:rPr>
        <w:t>Hai kiểm định này cùng nhau cung cấp bản đồ chi tiết về nơi giới có vai trò và nơi không. Điều này có giá trị thực tế cao hơn nhiều so với chỉ báo cáo "nữ có điểm trung bình cao hơn". Ví dụ, nếu thang đo bất biến nhưng đường dẫn bị bắt nạt → SAD mạnh hơn ở nữ, điều này hàm ý rằng CÙNG một trải nghiệm bị bắt nạt chuyển thành triệu chứng lo âu xã hội nặng hơn ở nữ — phát hiện có hàm ý thực tiễn trực tiếp cho thiết kế can thiệp. Ngược lại, nếu bắt nạt → SAD tương đương theo giới nhưng nữ đơn giản trải nghiệm bị bắt nạt nhiều hơn, hàm ý sẽ khác — giảm tiếp xúc với bắt nạt sẽ khép lại khoảng cách. SEM đa nhóm có thể phân biệt được các phương án này; kiểm định t thì không.</w:t>
      </w:r>
    </w:p>
    <w:p>
      <w:pPr>
        <w:spacing w:before="200" w:after="80"/>
      </w:pPr>
      <w:r>
        <w:rPr>
          <w:rFonts w:ascii="Times New Roman" w:hAnsi="Times New Roman"/>
          <w:b/>
          <w:color w:val="2E74B5"/>
          <w:sz w:val="24"/>
        </w:rPr>
        <w:t>1.4. Present study and hypotheses / Nghiên cứu hiện tại và các giả thuyết</w:t>
      </w:r>
    </w:p>
    <w:p>
      <w:pPr>
        <w:spacing w:after="80"/>
        <w:ind w:firstLine="283"/>
        <w:jc w:val="both"/>
      </w:pPr>
      <w:r>
        <w:rPr>
          <w:rFonts w:ascii="Times New Roman" w:hAnsi="Times New Roman"/>
          <w:sz w:val="22"/>
        </w:rPr>
        <w:t>Building on our preceding Q2 paper, which established the integrated risk-protective higher-order SEM model in the pooled sample (R² = 0.598 explaining total anxiety variance), the present study tests whether this model is invariant across gender. We pre-register three hypotheses on Open Science Framework (OSF) prior to running analyses.</w:t>
      </w:r>
    </w:p>
    <w:p>
      <w:pPr>
        <w:spacing w:after="160"/>
        <w:ind w:firstLine="283" w:left="170"/>
        <w:jc w:val="both"/>
      </w:pPr>
      <w:r>
        <w:rPr>
          <w:rFonts w:ascii="Times New Roman" w:hAnsi="Times New Roman"/>
          <w:i/>
          <w:color w:val="333333"/>
          <w:sz w:val="22"/>
        </w:rPr>
        <w:t>Dựa trên bài Q2 trước đó của chúng tôi — đã thiết lập mô hình SEM bậc cao tích hợp nguy cơ-bảo vệ trong mẫu gộp (R² = 0,598 giải thích phương sai lo âu tổng) — nghiên cứu hiện tại kiểm chứng xem mô hình này có bất biến theo giới hay không. Chúng tôi đăng ký trước ba giả thuyết trên nền tảng Open Science Framework (OSF) trước khi chạy phân tích.</w:t>
      </w:r>
    </w:p>
    <w:p>
      <w:pPr>
        <w:spacing w:after="80"/>
        <w:ind w:firstLine="283"/>
        <w:jc w:val="both"/>
      </w:pPr>
      <w:r>
        <w:rPr>
          <w:rFonts w:ascii="Times New Roman" w:hAnsi="Times New Roman"/>
          <w:sz w:val="22"/>
        </w:rPr>
        <w:t>Hypothesis 1 (measurement invariance): The 8-scale measurement model will show full invariance at all three levels (configural, metric, scalar) across boys and girls. Justification: the scales we use are widely validated in mixed-gender adolescent samples and we have no theoretical reason to expect gender-differential item functioning. Hypothesis 2 (selective structural non-invariance): At least one structural pathway will be non-invariant; specifically, the bullying → SAD pathway will be stronger in girls than boys, based on evidence that adolescent girls show greater social-evaluative sensitivity (Rose 2002; Hankin et al. 2007) and that bullying experiences are more often relational/social in nature for girls. Hypothesis 3 (higher-order model gender differences): The integrated higher-order model — with YTNC (risk) and YTBV (protective) as second-order factors predicting RLLA (total anxiety) — will show different magnitudes of explained variance by gender.</w:t>
      </w:r>
    </w:p>
    <w:p>
      <w:pPr>
        <w:spacing w:after="160"/>
        <w:ind w:firstLine="283" w:left="170"/>
        <w:jc w:val="both"/>
      </w:pPr>
      <w:r>
        <w:rPr>
          <w:rFonts w:ascii="Times New Roman" w:hAnsi="Times New Roman"/>
          <w:i/>
          <w:color w:val="333333"/>
          <w:sz w:val="22"/>
        </w:rPr>
        <w:t>Giả thuyết 1 (bất biến thang đo): Mô hình đo lường 8 thang sẽ đạt bất biến hoàn toàn ở cả ba cấp (cấu hình, hệ số tải, ngưỡng) giữa nam và nữ. Cơ sở: các thang chúng tôi sử dụng được chuẩn hóa rộng rãi trong các mẫu vị thành niên hỗn hợp giới và chúng tôi không có lý do lý thuyết nào để kỳ vọng các mục hoạt động khác biệt theo giới. Giả thuyết 2 (bất biến cấu trúc không hoàn toàn): Ít nhất một đường dẫn cấu trúc sẽ không bất biến; cụ thể, đường dẫn bị bắt nạt → SAD sẽ mạnh hơn ở nữ so với nam, dựa trên bằng chứng nữ vị thành niên thể hiện độ nhạy cao hơn với đánh giá xã hội (Rose 2002; Hankin và cs. 2007) và bắt nạt ở nữ thường mang tính quan hệ/xã hội hơn về bản chất. Giả thuyết 3 (khác biệt giới ở mô hình bậc cao): Mô hình bậc cao tích hợp — với YTNC (nguy cơ) và YTBV (bảo vệ) là hai yếu tố bậc hai dự đoán RLLA (lo âu tổng) — sẽ thể hiện độ lớn phương sai giải thích được khác nhau giữa nam và nữ.</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Participants were 1,352 Vietnamese lower secondary students (boys n = 614, 45.4%; girls n = 738, 54.6%) recruited from two purposively selected schools in Hanoi during the 2024-2025 academic year: Nhat Tan school (urban context) and Tay Mo school (suburban context). The age range was 11-14 years, covering grades 6 through 9, with the following grade-level distribution: grade 6 n = 368 (27.2%); grade 7 n = 316 (23.4%); grade 8 n = 340 (25.1%); grade 9 n = 328 (24.3%). Schools were selected to capture variation in urban-suburban context within Hanoi while controlling for region.</w:t>
      </w:r>
    </w:p>
    <w:p>
      <w:pPr>
        <w:spacing w:after="160"/>
        <w:ind w:firstLine="283" w:left="170"/>
        <w:jc w:val="both"/>
      </w:pPr>
      <w:r>
        <w:rPr>
          <w:rFonts w:ascii="Times New Roman" w:hAnsi="Times New Roman"/>
          <w:i/>
          <w:color w:val="333333"/>
          <w:sz w:val="22"/>
        </w:rPr>
        <w:t>Người tham gia gồm 1.352 học sinh trung học cơ sở Việt Nam (nam n = 614, 45,4%; nữ n = 738, 54,6%) tuyển từ hai trường được chọn có chủ đích tại Hà Nội trong năm học 2024-2025: trường Nhật Tân (bối cảnh đô thị) và trường Tây Mỗ (bối cảnh ngoại ô). Khoảng tuổi là 11-14, bao trùm các lớp 6 đến 9, với phân bố theo khối như sau: lớp 6 n = 368 (27,2%); lớp 7 n = 316 (23,4%); lớp 8 n = 340 (25,1%); lớp 9 n = 328 (24,3%). Các trường được chọn để bao quát sự biến thiên về bối cảnh đô thị-ngoại ô trong Hà Nội, đồng thời kiểm soát yếu tố vùng.</w:t>
      </w:r>
    </w:p>
    <w:p>
      <w:pPr>
        <w:spacing w:after="80"/>
        <w:ind w:firstLine="283"/>
        <w:jc w:val="both"/>
      </w:pPr>
      <w:r>
        <w:rPr>
          <w:rFonts w:ascii="Times New Roman" w:hAnsi="Times New Roman"/>
          <w:sz w:val="22"/>
        </w:rPr>
        <w:t>Inclusion criteria: students enrolled at one of the two study schools, present on the survey day, and with completed written parental consent. Exclusion criteria: students who declined to give assent, or who completed fewer than 80% of survey items. Of an initial pool of 1,524 eligible students, 172 (11.3%) were excluded for missing data or assent refusal, yielding the final analytic sample of 1,352. The sample is predominantly ethnic Kinh (&gt;95%), reflecting the demographic composition of Hanoi.</w:t>
      </w:r>
    </w:p>
    <w:p>
      <w:pPr>
        <w:spacing w:after="160"/>
        <w:ind w:firstLine="283" w:left="170"/>
        <w:jc w:val="both"/>
      </w:pPr>
      <w:r>
        <w:rPr>
          <w:rFonts w:ascii="Times New Roman" w:hAnsi="Times New Roman"/>
          <w:i/>
          <w:color w:val="333333"/>
          <w:sz w:val="22"/>
        </w:rPr>
        <w:t>Tiêu chí thu nhận: học sinh đang đi học tại một trong hai trường nghiên cứu, có mặt vào ngày khảo sát, và có sự đồng ý bằng văn bản của cha mẹ. Tiêu chí loại trừ: học sinh từ chối đồng thuận, hoặc hoàn thành dưới 80% số mục khảo sát. Từ một mẫu ban đầu gồm 1.524 học sinh đủ điều kiện, 172 (11,3%) bị loại do thiếu dữ liệu hoặc từ chối đồng thuận, tạo nên mẫu phân tích cuối cùng gồm 1.352 học sinh. Mẫu chủ yếu là dân tộc Kinh (&gt;95%), phản ánh thành phần dân số của Hà Nội.</w:t>
      </w:r>
    </w:p>
    <w:p>
      <w:pPr>
        <w:spacing w:before="200" w:after="80"/>
      </w:pPr>
      <w:r>
        <w:rPr>
          <w:rFonts w:ascii="Times New Roman" w:hAnsi="Times New Roman"/>
          <w:b/>
          <w:color w:val="2E74B5"/>
          <w:sz w:val="24"/>
        </w:rPr>
        <w:t>2.2. Measures / Công cụ đo lường</w:t>
      </w:r>
    </w:p>
    <w:p>
      <w:pPr>
        <w:spacing w:after="80"/>
        <w:ind w:firstLine="283"/>
        <w:jc w:val="both"/>
      </w:pPr>
      <w:r>
        <w:rPr>
          <w:rFonts w:ascii="Times New Roman" w:hAnsi="Times New Roman"/>
          <w:sz w:val="22"/>
        </w:rPr>
        <w:t>Eight validated scales were used. All scales had been previously translated into Vietnamese via forward-backward translation procedure, with expert panel review (three clinical psychologists and one educational measurement specialist) and pilot testing on a separate sample of 50 students. Anxiety subtypes were measured using the Revised Children's Anxiety and Depression Scale — RCADS (Chorpita 2000): Generalized Anxiety Disorder (7 items, e.g., "I worry that something bad will happen to my parents"); Social Anxiety Disorder (4 items, e.g., "I worry what other people think of me"); Separation Anxiety Disorder (4 items, e.g., "I would feel scared if I had to sleep on my own"). All items used 4-point Likert scales (0 = never to 3 = always).</w:t>
      </w:r>
    </w:p>
    <w:p>
      <w:pPr>
        <w:spacing w:after="160"/>
        <w:ind w:firstLine="283" w:left="170"/>
        <w:jc w:val="both"/>
      </w:pPr>
      <w:r>
        <w:rPr>
          <w:rFonts w:ascii="Times New Roman" w:hAnsi="Times New Roman"/>
          <w:i/>
          <w:color w:val="333333"/>
          <w:sz w:val="22"/>
        </w:rPr>
        <w:t>Tám thang đo đã chuẩn hóa được sử dụng. Tất cả các thang đã được dịch sang tiếng Việt trước đó qua quy trình dịch xuôi-ngược, với hội đồng chuyên gia thẩm định (ba nhà tâm lý lâm sàng và một chuyên gia đo lường giáo dục) và thử nghiệm trên một mẫu riêng gồm 50 học sinh. Các phân loại lo âu được đo bằng Thang Lo âu và Trầm cảm Trẻ em phiên bản sửa đổi — RCADS (Chorpita 2000): Lo âu Lan tỏa (7 mục, ví dụ "Em lo điều xấu sẽ xảy ra với cha mẹ"); Lo âu Xã hội (4 mục, ví dụ "Em lo người khác nghĩ gì về em"); Lo âu Chia ly (4 mục, ví dụ "Em sẽ sợ nếu phải ngủ một mình"). Tất cả mục sử dụng thang Likert 4 điểm (0 = không bao giờ đến 3 = luôn luôn).</w:t>
      </w:r>
    </w:p>
    <w:p>
      <w:pPr>
        <w:spacing w:after="80"/>
        <w:ind w:firstLine="283"/>
        <w:jc w:val="both"/>
      </w:pPr>
      <w:r>
        <w:rPr>
          <w:rFonts w:ascii="Times New Roman" w:hAnsi="Times New Roman"/>
          <w:sz w:val="22"/>
        </w:rPr>
        <w:t>Risk factors were assessed using: (i) Olweus Bully/Victim Questionnaire — OBVQ (Olweus 1996), 8 items capturing physical and verbal bullying victimization; (ii) Educational Stress Scale for Adolescents — ESSA (Sun et al. 2011), 4 items on academic pressure; (iii) Smartphone Addiction Scale-Short Version — SAS-SV (Kwon et al. 2013), 5 items on dysfunctional smartphone use. Protective factors comprised: (i) Psychological Sense of School Membership — PSSM (Goodenow 1993), 7 items; (ii) Multidimensional Scale of Perceived Social Support — MSPSS (Zimet et al. 1988), 8 items split into parental and peer subscales (4 items each); (iii) Rosenberg Self-Esteem Scale — RSES (Rosenberg 1965), 5 items. All raw scores were rescaled to a 0-100 metric for cross-scale comparability while preserving original scoring conventions. Internal consistency (Cronbach's α) ranged from 0.70 to 0.91 across scales.</w:t>
      </w:r>
    </w:p>
    <w:p>
      <w:pPr>
        <w:spacing w:after="160"/>
        <w:ind w:firstLine="283" w:left="170"/>
        <w:jc w:val="both"/>
      </w:pPr>
      <w:r>
        <w:rPr>
          <w:rFonts w:ascii="Times New Roman" w:hAnsi="Times New Roman"/>
          <w:i/>
          <w:color w:val="333333"/>
          <w:sz w:val="22"/>
        </w:rPr>
        <w:t>Các yếu tố nguy cơ được đánh giá qua: (i) Bảng câu hỏi Bắt nạt/Nạn nhân Olweus — OBVQ (Olweus 1996), 8 mục bắt được việc bị bắt nạt thể chất và bằng lời; (ii) Thang Áp lực Học tập cho Vị thành niên — ESSA (Sun và cs. 2011), 4 mục về áp lực học tập; (iii) Thang Nghiện Điện thoại bản rút gọn — SAS-SV (Kwon và cs. 2013), 5 mục về sử dụng điện thoại không có chức năng. Các yếu tố bảo vệ gồm: (i) Cảm nhận Tâm lý về Sự gắn bó với Trường — PSSM (Goodenow 1993), 7 mục; (ii) Thang Đa chiều về Hỗ trợ Xã hội Cảm nhận được — MSPSS (Zimet và cs. 1988), 8 mục chia thành phân thang cha mẹ và phân thang bạn bè (mỗi phân thang 4 mục); (iii) Thang Lòng Tự trọng Rosenberg — RSES (Rosenberg 1965), 5 mục. Tất cả điểm thô được chuyển sang thang 0-100 để so sánh giữa các thang, đồng thời giữ nguyên quy ước tính điểm gốc. Hệ số tin cậy nội tại (Cronbach α) dao động từ 0,70 đến 0,91 giữa các thang.</w:t>
      </w:r>
    </w:p>
    <w:p>
      <w:pPr>
        <w:spacing w:before="200" w:after="80"/>
      </w:pPr>
      <w:r>
        <w:rPr>
          <w:rFonts w:ascii="Times New Roman" w:hAnsi="Times New Roman"/>
          <w:b/>
          <w:color w:val="2E74B5"/>
          <w:sz w:val="24"/>
        </w:rPr>
        <w:t>2.3. Analytic strategy / Quy trình phân tích</w:t>
      </w:r>
    </w:p>
    <w:p>
      <w:pPr>
        <w:spacing w:after="80"/>
        <w:ind w:firstLine="283"/>
        <w:jc w:val="both"/>
      </w:pPr>
      <w:r>
        <w:rPr>
          <w:rFonts w:ascii="Times New Roman" w:hAnsi="Times New Roman"/>
          <w:sz w:val="22"/>
        </w:rPr>
        <w:t>The analytic strategy proceeds in five sequential steps. Software for primary analyses: Mplus 8.10 or higher (for multi-group SEM); R 4.3+ with the "lavaan" package 0.6-15+ for sensitivity analyses and reproducibility checks. All analyses use full-information maximum likelihood (FIML) estimation to accommodate missing data; mean-and-variance adjusted weighted least squares (WLSMV) is used as a robustness check given the ordinal nature of Likert items.</w:t>
      </w:r>
    </w:p>
    <w:p>
      <w:pPr>
        <w:spacing w:after="160"/>
        <w:ind w:firstLine="283" w:left="170"/>
        <w:jc w:val="both"/>
      </w:pPr>
      <w:r>
        <w:rPr>
          <w:rFonts w:ascii="Times New Roman" w:hAnsi="Times New Roman"/>
          <w:i/>
          <w:color w:val="333333"/>
          <w:sz w:val="22"/>
        </w:rPr>
        <w:t>Quy trình phân tích tiến hành qua năm bước tuần tự. Phần mềm cho các phân tích chính: Mplus 8.10 trở lên (cho SEM đa nhóm); R 4.3 trở lên với gói "lavaan" 0.6-15 trở lên cho các phân tích độ nhạy và kiểm tra khả năng tái tạo. Tất cả phân tích sử dụng phương pháp ước lượng hợp lý cực đại thông tin đầy đủ (FIML — Full-Information Maximum Likelihood) để xử lý dữ liệu khuyết; phương pháp bình phương tối thiểu có trọng số điều chỉnh trung bình-phương sai (WLSMV) được dùng như kiểm tra vững chắc do tính thứ tự của các mục Likert.</w:t>
      </w:r>
    </w:p>
    <w:p>
      <w:pPr>
        <w:spacing w:after="80"/>
        <w:ind w:firstLine="283"/>
        <w:jc w:val="both"/>
      </w:pPr>
      <w:r>
        <w:rPr>
          <w:rFonts w:ascii="Times New Roman" w:hAnsi="Times New Roman"/>
          <w:sz w:val="22"/>
        </w:rPr>
        <w:t>Step 1 — Descriptive statistics and bivariate gender comparisons. For each of the 8 scales, we compute mean, standard deviation (SD), Cronbach's alpha (α) reliability, and skewness/kurtosis stratified by gender. Independent t-tests (with Welch correction for unequal variances) compare boys vs girls on each scale. Chi-square tests compare proportions above SAD clinical threshold (RCADS T-score ≥ 65). Cohen's d effect size with 95% CI is reported for each comparison.</w:t>
      </w:r>
    </w:p>
    <w:p>
      <w:pPr>
        <w:spacing w:after="160"/>
        <w:ind w:firstLine="283" w:left="170"/>
        <w:jc w:val="both"/>
      </w:pPr>
      <w:r>
        <w:rPr>
          <w:rFonts w:ascii="Times New Roman" w:hAnsi="Times New Roman"/>
          <w:i/>
          <w:color w:val="333333"/>
          <w:sz w:val="22"/>
        </w:rPr>
        <w:t>Bước 1 — Thống kê mô tả và so sánh giới đơn biến. Với mỗi trong 8 thang, chúng tôi tính giá trị trung bình, độ lệch chuẩn (SD), hệ số tin cậy Cronbach alpha (α), và độ lệch/độ nhọn phân tầng theo giới. Kiểm định t độc lập (có hiệu chỉnh Welch khi phương sai không đồng nhất) so sánh nam với nữ trên mỗi thang. Kiểm định chi-square so sánh tỷ lệ vượt ngưỡng lâm sàng SAD (điểm T của RCADS ≥ 65). Hệ số ảnh hưởng Cohen's d kèm khoảng tin cậy 95% được báo cáo cho mỗi so sánh.</w:t>
      </w:r>
    </w:p>
    <w:p>
      <w:pPr>
        <w:spacing w:after="80"/>
        <w:ind w:firstLine="283"/>
        <w:jc w:val="both"/>
      </w:pPr>
      <w:r>
        <w:rPr>
          <w:rFonts w:ascii="Times New Roman" w:hAnsi="Times New Roman"/>
          <w:sz w:val="22"/>
        </w:rPr>
        <w:t>Step 2 — Measurement invariance via multi-group confirmatory factor analysis (CFA). We test invariance in three sequential levels. Level 1 (configural invariance): we test whether the same factor structure — same items loading on the same latent factors — holds in both groups. Level 2 (metric invariance): on top of configural, we additionally constrain factor loadings to be equal across groups. Level 3 (scalar invariance): on top of metric, we additionally constrain item intercepts to be equal. The decision criterion at each step: ΔCFI ≤ 0.01 (Cheung &amp; Rensvold 2002), combined with ΔRMSEA ≤ 0.015 (Chen 2007). If a level fails, we attempt partial invariance by releasing up to 20% of indicators per scale, with detailed reporting of which items required release.</w:t>
      </w:r>
    </w:p>
    <w:p>
      <w:pPr>
        <w:spacing w:after="160"/>
        <w:ind w:firstLine="283" w:left="170"/>
        <w:jc w:val="both"/>
      </w:pPr>
      <w:r>
        <w:rPr>
          <w:rFonts w:ascii="Times New Roman" w:hAnsi="Times New Roman"/>
          <w:i/>
          <w:color w:val="333333"/>
          <w:sz w:val="22"/>
        </w:rPr>
        <w:t>Bước 2 — Bất biến thang đo qua phân tích nhân tố khẳng định đa nhóm (CFA). Chúng tôi kiểm chứng bất biến qua ba cấp tuần tự. Cấp 1 (bất biến cấu hình): chúng tôi kiểm chứng xem cùng cấu trúc nhân tố — cùng mục tải lên cùng nhân tố tiềm ẩn — có giữ nguyên ở cả hai nhóm không. Cấp 2 (bất biến hệ số tải): trên nền cấu hình, chúng tôi bổ sung ràng buộc hệ số tải nhân tố bằng nhau giữa các nhóm. Cấp 3 (bất biến ngưỡng): trên nền hệ số tải, chúng tôi bổ sung ràng buộc ngưỡng chặn của mục bằng nhau. Tiêu chí ra quyết định ở mỗi bước: ΔCFI ≤ 0,01 (Cheung &amp; Rensvold 2002), kết hợp với ΔRMSEA ≤ 0,015 (Chen 2007). Nếu một cấp thất bại, chúng tôi thử bất biến từng phần bằng cách nới tối đa 20% chỉ báo trong mỗi thang, có báo cáo chi tiết các mục cần nới.</w:t>
      </w:r>
    </w:p>
    <w:p>
      <w:pPr>
        <w:spacing w:after="80"/>
        <w:ind w:firstLine="283"/>
        <w:jc w:val="both"/>
      </w:pPr>
      <w:r>
        <w:rPr>
          <w:rFonts w:ascii="Times New Roman" w:hAnsi="Times New Roman"/>
          <w:sz w:val="22"/>
        </w:rPr>
        <w:t>Step 3 — Structural invariance. We compare two nested models: (a) an unconstrained model in which all 21 hypothesized structural pathways are free to differ across groups; (b) a constrained model in which all 21 pathways are forced to be equal across groups. The chi-square difference test combined with ΔCFI determines if the unconstrained model fits significantly better. If yes, we systematically free one pathway at a time, prioritizing pathways with highest modification indices (MI &gt; 10), to identify the SPECIFIC non-invariant pathways. For each non-invariant pathway, we report β_boys, β_girls, both 95% CIs, and a z-test of the cross-gender coefficient difference.</w:t>
      </w:r>
    </w:p>
    <w:p>
      <w:pPr>
        <w:spacing w:after="160"/>
        <w:ind w:firstLine="283" w:left="170"/>
        <w:jc w:val="both"/>
      </w:pPr>
      <w:r>
        <w:rPr>
          <w:rFonts w:ascii="Times New Roman" w:hAnsi="Times New Roman"/>
          <w:i/>
          <w:color w:val="333333"/>
          <w:sz w:val="22"/>
        </w:rPr>
        <w:t>Bước 3 — Bất biến cấu trúc. Chúng tôi so sánh hai mô hình lồng nhau: (a) mô hình không ràng buộc trong đó cả 21 đường dẫn cấu trúc đã giả thuyết tự do khác nhau giữa các nhóm; (b) mô hình ràng buộc trong đó cả 21 đường dẫn bị buộc bằng nhau giữa các nhóm. Kiểm định chênh lệch chi-square kết hợp với ΔCFI xác định mô hình không ràng buộc có vừa hơn đáng kể không. Nếu có, chúng tôi lần lượt nới từng đường dẫn một, ưu tiên các đường có chỉ số điều chỉnh cao nhất (MI &gt; 10), để xác định ĐÚNG các đường dẫn không bất biến. Với mỗi đường dẫn không bất biến, chúng tôi báo cáo β_nam, β_nữ, hai khoảng tin cậy 95%, và một kiểm định z về chênh lệch hệ số giữa hai giới.</w:t>
      </w:r>
    </w:p>
    <w:p>
      <w:pPr>
        <w:spacing w:after="80"/>
        <w:ind w:firstLine="283"/>
        <w:jc w:val="both"/>
      </w:pPr>
      <w:r>
        <w:rPr>
          <w:rFonts w:ascii="Times New Roman" w:hAnsi="Times New Roman"/>
          <w:sz w:val="22"/>
        </w:rPr>
        <w:t>Step 4 — Higher-order integrated model invariance. We test invariance of the YTNC (risk) and YTBV (protective) second-order pathways to total anxiety (RLLA). We report β and 95% CI for each gender, R² for each gender (vs the pooled R² = 0.598 from Q2 v1), and the z-test of the cross-gender difference in second-order pathway coefficients. This step directly extends our Q2 finding by asking whether the same integrated model holds equally for boys and girls.</w:t>
      </w:r>
    </w:p>
    <w:p>
      <w:pPr>
        <w:spacing w:after="160"/>
        <w:ind w:firstLine="283" w:left="170"/>
        <w:jc w:val="both"/>
      </w:pPr>
      <w:r>
        <w:rPr>
          <w:rFonts w:ascii="Times New Roman" w:hAnsi="Times New Roman"/>
          <w:i/>
          <w:color w:val="333333"/>
          <w:sz w:val="22"/>
        </w:rPr>
        <w:t>Bước 4 — Bất biến của mô hình bậc cao tích hợp. Chúng tôi kiểm chứng bất biến của hai đường dẫn bậc hai YTNC (nguy cơ) và YTBV (bảo vệ) đến tổng lo âu (RLLA). Chúng tôi báo cáo β và khoảng tin cậy 95% cho mỗi giới, R² cho mỗi giới (so với R² mẫu gộp = 0,598 từ Q2 v1), và kiểm định z về chênh lệch hệ số đường dẫn bậc hai giữa hai giới. Bước này mở rộng trực tiếp phát hiện Q2 bằng cách đặt câu hỏi mô hình tích hợp này có giữ nguyên bằng nhau cho cả nam và nữ không.</w:t>
      </w:r>
    </w:p>
    <w:p>
      <w:pPr>
        <w:spacing w:after="80"/>
        <w:ind w:firstLine="283"/>
        <w:jc w:val="both"/>
      </w:pPr>
      <w:r>
        <w:rPr>
          <w:rFonts w:ascii="Times New Roman" w:hAnsi="Times New Roman"/>
          <w:sz w:val="22"/>
        </w:rPr>
        <w:t>Step 5 — Sensitivity analyses. We repeat the multi-group SEM after three sensitivity checks: (a) excluding sub-samples one at a time (urban-only / suburban-only) to test whether school context drives any observed effects; (b) stratifying by age (younger 11-12 vs older 13-14) to test the developmental peak hypothesis (the gender gap should be largest in the younger half); (c) applying a stricter invariance threshold (ΔCFI ≤ 0.005 per Chen 2007 for larger samples) to verify the robustness of conclusions.</w:t>
      </w:r>
    </w:p>
    <w:p>
      <w:pPr>
        <w:spacing w:after="160"/>
        <w:ind w:firstLine="283" w:left="170"/>
        <w:jc w:val="both"/>
      </w:pPr>
      <w:r>
        <w:rPr>
          <w:rFonts w:ascii="Times New Roman" w:hAnsi="Times New Roman"/>
          <w:i/>
          <w:color w:val="333333"/>
          <w:sz w:val="22"/>
        </w:rPr>
        <w:t>Bước 5 — Phân tích độ nhạy. Chúng tôi lặp lại SEM đa nhóm sau ba kiểm tra độ nhạy: (a) lần lượt loại trừ từng tiểu mẫu (chỉ đô thị / chỉ ngoại ô) để kiểm chứng xem bối cảnh trường có dẫn dắt bất kỳ hiệu ứng quan sát được nào không; (b) phân tầng theo tuổi (trẻ hơn 11-12 so với lớn hơn 13-14) để kiểm chứng giả thuyết đỉnh điểm phát triển (khoảng cách giới nên lớn nhất ở nửa trẻ hơn); (c) áp dụng ngưỡng bất biến nghiêm khắc hơn (ΔCFI ≤ 0,005 theo Chen 2007 cho các mẫu lớn) để xác minh tính vững chắc của kết luận.</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The study protocol was approved by the Ethics Committee of Hanoi National University of Education (HNUE) prior to data collection [approval reference: TBD — pending official letter from HNUE Ethics Committee]. Written parental consent and student assent were obtained from all participants. Students were informed that participation was voluntary, responses were confidential and would not affect their grades, and they could withdraw at any time without consequence. The study followed Declaration of Helsinki principles. Pre-registration of the analytic plan on Open Science Framework (OSF) was completed prior to data analysis.</w:t>
      </w:r>
    </w:p>
    <w:p>
      <w:pPr>
        <w:spacing w:after="160"/>
        <w:ind w:firstLine="283" w:left="170"/>
        <w:jc w:val="both"/>
      </w:pPr>
      <w:r>
        <w:rPr>
          <w:rFonts w:ascii="Times New Roman" w:hAnsi="Times New Roman"/>
          <w:i/>
          <w:color w:val="333333"/>
          <w:sz w:val="22"/>
        </w:rPr>
        <w:t>Đề cương nghiên cứu đã được phê duyệt bởi Hội đồng Đạo đức Trường Đại học Sư phạm Hà Nội (HNUE) trước khi thu thập dữ liệu [số tham chiếu phê duyệt: CHỜ XÁC NHẬN — chờ thư chính thức từ Hội đồng Đạo đức HNUE]. Sự đồng ý bằng văn bản của cha mẹ và sự đồng thuận bằng văn bản của học sinh đã được thu thập từ tất cả người tham gia. Học sinh được thông báo rằng việc tham gia là tự nguyện, các câu trả lời được bảo mật và sẽ không ảnh hưởng đến điểm số, và họ có thể rút khỏi nghiên cứu bất cứ lúc nào mà không có hậu quả. Nghiên cứu tuân thủ các nguyên tắc của Tuyên bố Helsinki. Việc đăng ký trước kế hoạch phân tích trên nền tảng Open Science Framework (OSF) đã hoàn thành trước khi phân tích dữ liệu.</w:t>
      </w:r>
    </w:p>
    <w:p>
      <w:pPr>
        <w:spacing w:before="320" w:after="160"/>
      </w:pPr>
      <w:r>
        <w:rPr>
          <w:rFonts w:ascii="Times New Roman" w:hAnsi="Times New Roman"/>
          <w:b/>
          <w:color w:val="C00000"/>
          <w:sz w:val="28"/>
        </w:rPr>
        <w:t>3. RESULTS — KẾT QUẢ (DỰ KIẾN)</w:t>
      </w:r>
    </w:p>
    <w:p>
      <w:pPr>
        <w:spacing w:after="80"/>
        <w:ind w:firstLine="283"/>
        <w:jc w:val="both"/>
      </w:pPr>
      <w:r>
        <w:rPr>
          <w:rFonts w:ascii="Times New Roman" w:hAnsi="Times New Roman"/>
          <w:sz w:val="22"/>
        </w:rPr>
        <w:t>Note to readers: This is the prose draft of expected results. Actual numeric values await completion of multi-group SEM analyses. Italicized placeholders [TBD] mark values that will be filled in after analysis. Tables 1-3 and Figure 1 will be inserted at submission.</w:t>
      </w:r>
    </w:p>
    <w:p>
      <w:pPr>
        <w:spacing w:after="160"/>
        <w:ind w:firstLine="283" w:left="170"/>
        <w:jc w:val="both"/>
      </w:pPr>
      <w:r>
        <w:rPr>
          <w:rFonts w:ascii="Times New Roman" w:hAnsi="Times New Roman"/>
          <w:i/>
          <w:color w:val="333333"/>
          <w:sz w:val="22"/>
        </w:rPr>
        <w:t>Lưu ý cho người đọc: Đây là bản thảo văn xuôi của các kết quả dự kiến. Giá trị số thực tế chờ hoàn thành các phân tích SEM đa nhóm. Các chỗ trống được in nghiêng [CHỜ XÁC NHẬN] đánh dấu các giá trị sẽ được điền sau khi phân tích. Bảng 1-3 và Hình 1 sẽ được chèn vào lúc nộp bài.</w:t>
      </w:r>
    </w:p>
    <w:p>
      <w:pPr>
        <w:spacing w:before="200" w:after="80"/>
      </w:pPr>
      <w:r>
        <w:rPr>
          <w:rFonts w:ascii="Times New Roman" w:hAnsi="Times New Roman"/>
          <w:b/>
          <w:color w:val="2E74B5"/>
          <w:sz w:val="24"/>
        </w:rPr>
        <w:t>3.1. Descriptive statistics and bivariate gender comparisons / Thống kê mô tả và so sánh giới đơn biến</w:t>
      </w:r>
    </w:p>
    <w:p>
      <w:pPr>
        <w:spacing w:after="80"/>
        <w:ind w:firstLine="283"/>
        <w:jc w:val="both"/>
      </w:pPr>
      <w:r>
        <w:rPr>
          <w:rFonts w:ascii="Times New Roman" w:hAnsi="Times New Roman"/>
          <w:sz w:val="22"/>
        </w:rPr>
        <w:t>Table 1 presents means, SDs, Cronbach's alphas, and bivariate gender comparison statistics for each of 8 scales. Internal consistency was acceptable to excellent across scales (α range [TBD; expected 0.70-0.91]). Based on our preliminary descriptives from Q2 v1 pooled analysis, we expect girls to score significantly higher on SAD (Cohen's d ≈ [TBD]) and SocAD (d ≈ [TBD]), and boys to score significantly higher on self-esteem (d ≈ [TBD]). Gender differences in academic stress and bullying victimization are expected to be smaller and directionally inconsistent across grades.</w:t>
      </w:r>
    </w:p>
    <w:p>
      <w:pPr>
        <w:spacing w:after="160"/>
        <w:ind w:firstLine="283" w:left="170"/>
        <w:jc w:val="both"/>
      </w:pPr>
      <w:r>
        <w:rPr>
          <w:rFonts w:ascii="Times New Roman" w:hAnsi="Times New Roman"/>
          <w:i/>
          <w:color w:val="333333"/>
          <w:sz w:val="22"/>
        </w:rPr>
        <w:t>Bảng 1 trình bày các giá trị trung bình, SD, Cronbach alpha, và thống kê so sánh giới đơn biến cho mỗi trong 8 thang. Hệ số tin cậy nội tại chấp nhận được đến xuất sắc qua các thang (khoảng α [CHỜ XÁC NHẬN; dự kiến 0,70-0,91]). Dựa trên thống kê mô tả sơ bộ của chúng tôi từ phân tích gộp Q2 v1, chúng tôi kỳ vọng nữ có điểm cao hơn có ý nghĩa thống kê trên SAD (Cohen's d ≈ [CHỜ XÁC NHẬN]) và SocAD (d ≈ [CHỜ XÁC NHẬN]), và nam có điểm cao hơn có ý nghĩa thống kê trên lòng tự trọng (d ≈ [CHỜ XÁC NHẬN]). Khác biệt giới về áp lực học tập và bị bắt nạt dự kiến nhỏ hơn và không nhất quán về hướng giữa các khối lớp.</w:t>
      </w:r>
    </w:p>
    <w:p>
      <w:pPr>
        <w:spacing w:before="200" w:after="80"/>
      </w:pPr>
      <w:r>
        <w:rPr>
          <w:rFonts w:ascii="Times New Roman" w:hAnsi="Times New Roman"/>
          <w:b/>
          <w:color w:val="2E74B5"/>
          <w:sz w:val="24"/>
        </w:rPr>
        <w:t>3.2. Measurement invariance / Bất biến thang đo</w:t>
      </w:r>
    </w:p>
    <w:p>
      <w:pPr>
        <w:spacing w:after="80"/>
        <w:ind w:firstLine="283"/>
        <w:jc w:val="both"/>
      </w:pPr>
      <w:r>
        <w:rPr>
          <w:rFonts w:ascii="Times New Roman" w:hAnsi="Times New Roman"/>
          <w:sz w:val="22"/>
        </w:rPr>
        <w:t>Sequential model fit indices for the three invariance levels are presented in Table 2. The configural model is expected to fit well (CFI &gt; 0.95, RMSEA &lt; 0.06). Adding metric constraints is expected to produce ΔCFI &lt; 0.01 (supporting metric invariance). Adding scalar constraints is expected to produce ΔCFI &lt; 0.01 (supporting scalar invariance). If any partial invariance findings emerge, we will list specifically which items required release and discuss why those items may function differently across gender — for example, a bullying item referring to "calling me names" may have different interpretation for girls (often relational bullying) vs. boys (often physical bullying).</w:t>
      </w:r>
    </w:p>
    <w:p>
      <w:pPr>
        <w:spacing w:after="160"/>
        <w:ind w:firstLine="283" w:left="170"/>
        <w:jc w:val="both"/>
      </w:pPr>
      <w:r>
        <w:rPr>
          <w:rFonts w:ascii="Times New Roman" w:hAnsi="Times New Roman"/>
          <w:i/>
          <w:color w:val="333333"/>
          <w:sz w:val="22"/>
        </w:rPr>
        <w:t>Các chỉ số phù hợp mô hình tuần tự cho ba cấp bất biến được trình bày trong Bảng 2. Mô hình cấu hình dự kiến vừa tốt (CFI &gt; 0,95, RMSEA &lt; 0,06). Thêm ràng buộc hệ số tải dự kiến tạo ΔCFI &lt; 0,01 (hỗ trợ bất biến hệ số tải). Thêm ràng buộc ngưỡng dự kiến tạo ΔCFI &lt; 0,01 (hỗ trợ bất biến ngưỡng). Nếu xuất hiện bất biến từng phần, chúng tôi sẽ liệt kê cụ thể các mục cần nới và bàn luận vì sao các mục đó có thể hoạt động khác nhau giữa hai giới — ví dụ một mục bắt nạt nói "gọi tên xấu" có thể mang ý nghĩa khác với nữ (thường là bắt nạt quan hệ) so với nam (thường là bắt nạt thể chất).</w:t>
      </w:r>
    </w:p>
    <w:p>
      <w:pPr>
        <w:spacing w:before="200" w:after="80"/>
      </w:pPr>
      <w:r>
        <w:rPr>
          <w:rFonts w:ascii="Times New Roman" w:hAnsi="Times New Roman"/>
          <w:b/>
          <w:color w:val="2E74B5"/>
          <w:sz w:val="24"/>
        </w:rPr>
        <w:t>3.3. Structural invariance / Bất biến cấu trúc</w:t>
      </w:r>
    </w:p>
    <w:p>
      <w:pPr>
        <w:spacing w:after="80"/>
        <w:ind w:firstLine="283"/>
        <w:jc w:val="both"/>
      </w:pPr>
      <w:r>
        <w:rPr>
          <w:rFonts w:ascii="Times New Roman" w:hAnsi="Times New Roman"/>
          <w:sz w:val="22"/>
        </w:rPr>
        <w:t>Comparing the unconstrained vs constrained models, we expect to identify a subset of non-invariant pathways. Table 3 will present β by gender for each of the 21 pathways + 95% CI + z-test of cross-gender difference. Pathways exceeding the substantively meaningful threshold (|β_girls - β_boys| &gt; 0.10) will be highlighted in bold. Based on our pre-registered hypothesis H2, we expect the bullying → SAD pathway to be the primary non-invariant pathway. Additional non-invariant pathways may emerge around self-esteem and peer-support effects.</w:t>
      </w:r>
    </w:p>
    <w:p>
      <w:pPr>
        <w:spacing w:after="160"/>
        <w:ind w:firstLine="283" w:left="170"/>
        <w:jc w:val="both"/>
      </w:pPr>
      <w:r>
        <w:rPr>
          <w:rFonts w:ascii="Times New Roman" w:hAnsi="Times New Roman"/>
          <w:i/>
          <w:color w:val="333333"/>
          <w:sz w:val="22"/>
        </w:rPr>
        <w:t>So sánh mô hình không ràng buộc với mô hình ràng buộc, chúng tôi kỳ vọng xác định được một nhóm các đường dẫn không bất biến. Bảng 3 sẽ trình bày β theo giới cho mỗi trong 21 đường dẫn + khoảng tin cậy 95% + kiểm định z về chênh lệch giữa hai giới. Các đường dẫn vượt ngưỡng có ý nghĩa thực tế (|β_nữ - β_nam| &gt; 0,10) sẽ được đánh dấu in đậm. Dựa trên giả thuyết đăng ký trước H2, chúng tôi kỳ vọng đường dẫn bị bắt nạt → SAD là đường dẫn không bất biến chính. Các đường dẫn không bất biến bổ sung có thể xuất hiện quanh các hiệu ứng của lòng tự trọng và hỗ trợ từ bạn bè.</w:t>
      </w:r>
    </w:p>
    <w:p>
      <w:pPr>
        <w:spacing w:before="200" w:after="80"/>
      </w:pPr>
      <w:r>
        <w:rPr>
          <w:rFonts w:ascii="Times New Roman" w:hAnsi="Times New Roman"/>
          <w:b/>
          <w:color w:val="2E74B5"/>
          <w:sz w:val="24"/>
        </w:rPr>
        <w:t>3.4. Pathway-specific gender effects / Hiệu ứng giới theo từng đường dẫn</w:t>
      </w:r>
    </w:p>
    <w:p>
      <w:pPr>
        <w:spacing w:after="80"/>
        <w:ind w:firstLine="283"/>
        <w:jc w:val="both"/>
      </w:pPr>
      <w:r>
        <w:rPr>
          <w:rFonts w:ascii="Times New Roman" w:hAnsi="Times New Roman"/>
          <w:sz w:val="22"/>
        </w:rPr>
        <w:t>We will focus the substantive discussion on non-invariant pathways that meet two criteria: (i) statistically significant z-test of cross-gender difference at p &lt; 0.05; (ii) substantively meaningful effect size difference |β_girls - β_boys| &gt; 0.10. For each qualifying pathway, we report β_boys, β_girls, both 95% CIs, partial R², and practical interpretation. We do not over-interpret pathways that meet statistical significance only due to large sample size but show trivial effect size differences.</w:t>
      </w:r>
    </w:p>
    <w:p>
      <w:pPr>
        <w:spacing w:after="160"/>
        <w:ind w:firstLine="283" w:left="170"/>
        <w:jc w:val="both"/>
      </w:pPr>
      <w:r>
        <w:rPr>
          <w:rFonts w:ascii="Times New Roman" w:hAnsi="Times New Roman"/>
          <w:i/>
          <w:color w:val="333333"/>
          <w:sz w:val="22"/>
        </w:rPr>
        <w:t>Chúng tôi sẽ tập trung bàn luận thực chất trên các đường dẫn không bất biến đáp ứng hai tiêu chí: (i) kiểm định z về chênh lệch giữa hai giới có ý nghĩa thống kê tại p &lt; 0,05; (ii) chênh lệch hệ số ảnh hưởng có ý nghĩa thực tế |β_nữ - β_nam| &gt; 0,10. Với mỗi đường dẫn đủ điều kiện, chúng tôi báo cáo β_nam, β_nữ, cả hai khoảng tin cậy 95%, R² riêng phần, và diễn giải thực tiễn. Chúng tôi không diễn giải quá mức các đường dẫn chỉ đạt ý nghĩa thống kê do cỡ mẫu lớn nhưng có chênh lệch hệ số ảnh hưởng tầm thường.</w:t>
      </w:r>
    </w:p>
    <w:p>
      <w:pPr>
        <w:spacing w:before="200" w:after="80"/>
      </w:pPr>
      <w:r>
        <w:rPr>
          <w:rFonts w:ascii="Times New Roman" w:hAnsi="Times New Roman"/>
          <w:b/>
          <w:color w:val="2E74B5"/>
          <w:sz w:val="24"/>
        </w:rPr>
        <w:t>3.5. Higher-order integrated model / Mô hình bậc cao tích hợp</w:t>
      </w:r>
    </w:p>
    <w:p>
      <w:pPr>
        <w:spacing w:after="80"/>
        <w:ind w:firstLine="283"/>
        <w:jc w:val="both"/>
      </w:pPr>
      <w:r>
        <w:rPr>
          <w:rFonts w:ascii="Times New Roman" w:hAnsi="Times New Roman"/>
          <w:sz w:val="22"/>
        </w:rPr>
        <w:t>Figure 1 will display the higher-order SEM model with second-order factors YTNC (loaded by bullying, academic stress, smartphone addiction) and YTBV (loaded by school membership, parental support, peer support, self-esteem), both predicting RLLA (loaded by GAD, SAD, SocAD). The pooled R² from Q2 was 0.598. We report R² separately by gender. If R²_girls and R²_boys differ substantially (e.g., difference &gt; 0.05), this indicates the integrated risk-protective model explains anxiety variance with different magnitudes for boys and girls — a finding with implications for the relative importance of universal vs gender-tailored prevention.</w:t>
      </w:r>
    </w:p>
    <w:p>
      <w:pPr>
        <w:spacing w:after="160"/>
        <w:ind w:firstLine="283" w:left="170"/>
        <w:jc w:val="both"/>
      </w:pPr>
      <w:r>
        <w:rPr>
          <w:rFonts w:ascii="Times New Roman" w:hAnsi="Times New Roman"/>
          <w:i/>
          <w:color w:val="333333"/>
          <w:sz w:val="22"/>
        </w:rPr>
        <w:t>Hình 1 sẽ thể hiện mô hình SEM bậc cao với hai yếu tố bậc hai YTNC (được tải bởi bị bắt nạt, áp lực học tập, nghiện điện thoại) và YTBV (được tải bởi gắn bó trường, hỗ trợ cha mẹ, hỗ trợ bạn bè, lòng tự trọng), cả hai dự đoán RLLA (được tải bởi GAD, SAD, SocAD). R² mẫu gộp từ Q2 là 0,598. Chúng tôi báo cáo R² riêng theo giới. Nếu R²_nữ và R²_nam khác biệt rõ rệt (ví dụ chênh lệch &gt; 0,05), điều này chỉ ra mô hình tích hợp nguy cơ-bảo vệ giải thích phương sai lo âu với độ lớn khác nhau giữa nam và nữ — phát hiện có hàm ý về tầm quan trọng tương đối của phòng ngừa phổ quát so với phòng ngừa đặc thù theo giới.</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findings / Tóm tắt phát hiện</w:t>
      </w:r>
    </w:p>
    <w:p>
      <w:pPr>
        <w:spacing w:after="80"/>
        <w:ind w:firstLine="283"/>
        <w:jc w:val="both"/>
      </w:pPr>
      <w:r>
        <w:rPr>
          <w:rFonts w:ascii="Times New Roman" w:hAnsi="Times New Roman"/>
          <w:sz w:val="22"/>
        </w:rPr>
        <w:t>In this study we tested whether the integrated risk-protective SEM model that we previously established in a pooled sample of 1,352 Vietnamese lower secondary students (Q2, R² = 0.598) holds equally for boys and girls. Multi-group SEM revealed [TBD: measurement invariance results], [TBD: structural invariance results], and [TBD: higher-order model results]. The pattern of non-invariant pathways indicates that [TBD: substantive interpretation].</w:t>
      </w:r>
    </w:p>
    <w:p>
      <w:pPr>
        <w:spacing w:after="160"/>
        <w:ind w:firstLine="283" w:left="170"/>
        <w:jc w:val="both"/>
      </w:pPr>
      <w:r>
        <w:rPr>
          <w:rFonts w:ascii="Times New Roman" w:hAnsi="Times New Roman"/>
          <w:i/>
          <w:color w:val="333333"/>
          <w:sz w:val="22"/>
        </w:rPr>
        <w:t>Trong nghiên cứu này, chúng tôi đã kiểm chứng liệu mô hình SEM tích hợp nguy cơ-bảo vệ mà chúng tôi đã thiết lập trước đó trên mẫu gộp 1.352 học sinh trung học cơ sở Việt Nam (Q2, R² = 0,598) có giữ nguyên bằng nhau cho nam và nữ không. SEM đa nhóm cho thấy [CHỜ XÁC NHẬN: kết quả bất biến thang đo], [CHỜ XÁC NHẬN: kết quả bất biến cấu trúc], và [CHỜ XÁC NHẬN: kết quả mô hình bậc cao]. Cụ thể, mô hình các đường dẫn không bất biến chỉ ra rằng [CHỜ XÁC NHẬN: diễn giải thực chất].</w:t>
      </w:r>
    </w:p>
    <w:p>
      <w:pPr>
        <w:spacing w:before="200" w:after="80"/>
      </w:pPr>
      <w:r>
        <w:rPr>
          <w:rFonts w:ascii="Times New Roman" w:hAnsi="Times New Roman"/>
          <w:b/>
          <w:color w:val="2E74B5"/>
          <w:sz w:val="24"/>
        </w:rPr>
        <w:t>4.2. Reconciliation with Jefferies &amp; Ungar (2020) / Lý giải khác biệt với Jefferies &amp; Ungar (2020)</w:t>
      </w:r>
    </w:p>
    <w:p>
      <w:pPr>
        <w:spacing w:after="80"/>
        <w:ind w:firstLine="283"/>
        <w:jc w:val="both"/>
      </w:pPr>
      <w:r>
        <w:rPr>
          <w:rFonts w:ascii="Times New Roman" w:hAnsi="Times New Roman"/>
          <w:sz w:val="22"/>
        </w:rPr>
        <w:t>Phát hiện khác biệt giới trong SAD ở giai đoạn đầu vị thành niên của chúng tôi khác với kết quả không có khác biệt giới của Jefferies &amp; Ungar (2020) trên thanh niên 16-29 tuổi ở bảy quốc gia. Chúng tôi đưa ra sáu lý lẽ — bốn lý lẽ thực chất và hai lý lẽ phương pháp — để lý giải sự khác biệt này.</w:t>
      </w:r>
    </w:p>
    <w:p>
      <w:pPr>
        <w:spacing w:after="160"/>
        <w:ind w:firstLine="283" w:left="170"/>
        <w:jc w:val="both"/>
      </w:pPr>
      <w:r>
        <w:rPr>
          <w:rFonts w:ascii="Times New Roman" w:hAnsi="Times New Roman"/>
          <w:i/>
          <w:color w:val="333333"/>
          <w:sz w:val="22"/>
        </w:rPr>
        <w:t>Phát hiện của chúng tôi về khác biệt giới trong SAD ở giai đoạn đầu vị thành niên khác với hiệu ứng giới bằng không được báo cáo bởi Jefferies &amp; Ungar (2020) trên thanh niên 16-29 tuổi tại bảy quốc gia. Chúng tôi đề xuất sáu luận chứng — bốn thực chất và hai phương pháp — để lý giải sự khác biệt này.</w:t>
      </w:r>
    </w:p>
    <w:p>
      <w:pPr>
        <w:spacing w:after="80"/>
        <w:ind w:firstLine="283"/>
        <w:jc w:val="both"/>
      </w:pPr>
      <w:r>
        <w:rPr>
          <w:rFonts w:ascii="Times New Roman" w:hAnsi="Times New Roman"/>
          <w:sz w:val="22"/>
        </w:rPr>
        <w:t>Argument 1 — Developmental peak at ages 11-14. The age range 11-14 represents a critical developmental window in which gender differences in anxiety are at their highest expression. Hankin et al. (2007) demonstrated that adolescent girls experience a steeper increase in stress exposure and stress reactivity than boys during early puberty, leading to peak vulnerability to anxiety and depression. McLean &amp; Anderson (2009), in their comprehensive review, documented that the female-to-male ratio for anxiety disorders rises from approximately 1.5:1 in childhood to 2:1 or higher by early adolescence, before partially attenuating in adulthood. Our sample falls precisely within this peak vulnerability window, while Jefferies' sample begins at age 16 — past the peak.</w:t>
      </w:r>
    </w:p>
    <w:p>
      <w:pPr>
        <w:spacing w:after="160"/>
        <w:ind w:firstLine="283" w:left="170"/>
        <w:jc w:val="both"/>
      </w:pPr>
      <w:r>
        <w:rPr>
          <w:rFonts w:ascii="Times New Roman" w:hAnsi="Times New Roman"/>
          <w:i/>
          <w:color w:val="333333"/>
          <w:sz w:val="22"/>
        </w:rPr>
        <w:t>Luận chứng 1 — Đỉnh điểm phát triển ở tuổi 11-14. Khoảng tuổi 11-14 đại diện cho một cửa sổ phát triển then chốt trong đó khác biệt giới về lo âu đạt biểu hiện cao nhất. Hankin và cs. (2007) chứng minh rằng nữ vị thành niên trải qua sự gia tăng dốc hơn về phơi nhiễm stress và phản ứng stress so với nam trong giai đoạn đầu dậy thì, dẫn đến đỉnh điểm tổn thương lo âu và trầm cảm. McLean &amp; Anderson (2009), trong bài tổng quan toàn diện, ghi nhận tỷ số nữ:nam đối với các rối loạn lo âu tăng từ khoảng 1,5:1 ở tuổi thơ lên 2:1 hoặc cao hơn ở giai đoạn đầu vị thành niên, trước khi giảm một phần ở tuổi trưởng thành. Mẫu của chúng tôi rơi chính xác vào cửa sổ đỉnh điểm tổn thương này, trong khi mẫu của Jefferies bắt đầu từ tuổi 16 — đã qua đỉnh.</w:t>
      </w:r>
    </w:p>
    <w:p>
      <w:pPr>
        <w:spacing w:after="80"/>
        <w:ind w:firstLine="283"/>
        <w:jc w:val="both"/>
      </w:pPr>
      <w:r>
        <w:rPr>
          <w:rFonts w:ascii="Times New Roman" w:hAnsi="Times New Roman"/>
          <w:sz w:val="22"/>
        </w:rPr>
        <w:t>Argument 2 — Co-rumination in girls' friendships. Rose (2002) introduced the construct of co-rumination — the tendency of close friends to dwell repeatedly and extensively on shared worries, life problems, and negative feelings. Her research consistently shows that adolescent girls engage in co-rumination significantly more than boys, and that this gendered pattern peaks in middle school years. Co-rumination has a paradoxical effect: it strengthens friendship intimacy but simultaneously amplifies internalizing symptoms including anxiety. In Vietnamese lower secondary students, where friendship intensity in girls is reinforced by cultural emphasis on female emotional connectedness, co-rumination may contribute substantially to elevated SAD scores in girls.</w:t>
      </w:r>
    </w:p>
    <w:p>
      <w:pPr>
        <w:spacing w:after="160"/>
        <w:ind w:firstLine="283" w:left="170"/>
        <w:jc w:val="both"/>
      </w:pPr>
      <w:r>
        <w:rPr>
          <w:rFonts w:ascii="Times New Roman" w:hAnsi="Times New Roman"/>
          <w:i/>
          <w:color w:val="333333"/>
          <w:sz w:val="22"/>
        </w:rPr>
        <w:t>Luận chứng 2 — Việc cùng đào sâu lo lắng trong tình bạn nữ. Rose (2002) giới thiệu khái niệm co-rumination (cùng đào sâu lo lắng) — xu hướng bạn thân đào sâu lặp đi lặp lại và rộng rãi vào các lo lắng chung, các vấn đề cuộc sống, và các cảm xúc tiêu cực. Nghiên cứu của bà liên tục cho thấy nữ vị thành niên tham gia co-rumination nhiều hơn nam có ý nghĩa thống kê, và mô hình theo giới này đạt đỉnh trong những năm trung học cơ sở. Co-rumination có hiệu ứng nghịch lý: nó củng cố sự thân mật trong tình bạn nhưng đồng thời khuếch đại các triệu chứng nội hóa bao gồm lo âu. Ở học sinh trung học cơ sở Việt Nam, nơi sự mãnh liệt của tình bạn nữ được củng cố bởi văn hóa nhấn mạnh sự gắn kết cảm xúc của nữ, co-rumination có thể đóng góp đáng kể vào điểm SAD cao ở nữ.</w:t>
      </w:r>
    </w:p>
    <w:p>
      <w:pPr>
        <w:spacing w:after="80"/>
        <w:ind w:firstLine="283"/>
        <w:jc w:val="both"/>
      </w:pPr>
      <w:r>
        <w:rPr>
          <w:rFonts w:ascii="Times New Roman" w:hAnsi="Times New Roman"/>
          <w:sz w:val="22"/>
        </w:rPr>
        <w:t>Argument 3 — Confucian gender script. Vietnamese lower secondary students are immersed in a Confucian cultural matrix that imposes distinctive gender expectations. Stankov (2010) documented that Confucian-heritage students show a paradoxical profile of high academic achievement combined with high test anxiety and self-doubt; this pattern is especially pronounced in girls, who face dual pressure to excel academically and to embody traditional female virtues (modesty, deference, emotional restraint). Small &amp; Blanc (2021), in their analysis of Vietnam's mental health response during COVID-19, highlighted how the integrated worldview of tam giao — Buddhism, Confucianism, Taoism — shapes culturally distinctive norms of emotional management. For Vietnamese girls, these norms include greater emphasis on maintaining social harmony and avoiding emotional disturbance to others — a norm that can paradoxically increase internal SAD even while reducing external expression.</w:t>
      </w:r>
    </w:p>
    <w:p>
      <w:pPr>
        <w:spacing w:after="160"/>
        <w:ind w:firstLine="283" w:left="170"/>
        <w:jc w:val="both"/>
      </w:pPr>
      <w:r>
        <w:rPr>
          <w:rFonts w:ascii="Times New Roman" w:hAnsi="Times New Roman"/>
          <w:i/>
          <w:color w:val="333333"/>
          <w:sz w:val="22"/>
        </w:rPr>
        <w:t>Luận chứng 3 — Kịch bản giới Nho giáo. Học sinh trung học cơ sở Việt Nam được nhúng vào một ma trận văn hóa Nho giáo áp đặt các kỳ vọng giới đặc thù. Stankov (2010) ghi nhận rằng học sinh thừa hưởng di sản Nho giáo cho thấy một hồ sơ nghịch lý: thành tích học tập cao kết hợp với lo âu thi cử cao và tự nghi ngờ; mô hình này đặc biệt rõ rệt ở nữ — những người chịu áp lực kép phải xuất sắc về học tập và phải hiện thân các đức tính nữ truyền thống (khiêm tốn, lễ độ, chừng mực cảm xúc). Small &amp; Blanc (2021), trong phân tích ứng phó sức khỏe tâm thần của Việt Nam trong đại dịch COVID-19, đã làm nổi bật cách thế giới quan tích hợp của tam giáo — Phật, Nho, Đạo — định hình các chuẩn mực quản lý cảm xúc đặc thù về văn hóa. Với nữ Việt Nam, các chuẩn mực này gồm việc nhấn mạnh hơn vào duy trì sự hòa thuận xã hội và tránh gây xáo trộn cảm xúc cho người khác — một chuẩn mực có thể, một cách nghịch lý, làm SAD nội tâm tăng lên ngay cả khi giảm biểu hiện ra ngoài.</w:t>
      </w:r>
    </w:p>
    <w:p>
      <w:pPr>
        <w:spacing w:after="80"/>
        <w:ind w:firstLine="283"/>
        <w:jc w:val="both"/>
      </w:pPr>
      <w:r>
        <w:rPr>
          <w:rFonts w:ascii="Times New Roman" w:hAnsi="Times New Roman"/>
          <w:sz w:val="22"/>
        </w:rPr>
        <w:t>Argument 4 — School-based vs market-panel context. Our data were collected in classroom contexts during normal school hours, with researchers present to answer questions; Jefferies' data came from online market panels in which young adults completed the Social Interaction Anxiety Scale via web survey. These contexts elicit very different self-disclosure norms. Adolescents in classroom settings may be more attuned to peer judgment and report anxiety more honestly when guaranteed confidentiality; young adults in market panels may be more career-focused and minimize anxiety symptoms. The contextual difference may not eliminate Jefferies' findings but may explain why some gender differences attenuate across data-collection contexts.</w:t>
      </w:r>
    </w:p>
    <w:p>
      <w:pPr>
        <w:spacing w:after="160"/>
        <w:ind w:firstLine="283" w:left="170"/>
        <w:jc w:val="both"/>
      </w:pPr>
      <w:r>
        <w:rPr>
          <w:rFonts w:ascii="Times New Roman" w:hAnsi="Times New Roman"/>
          <w:i/>
          <w:color w:val="333333"/>
          <w:sz w:val="22"/>
        </w:rPr>
        <w:t>Luận chứng 4 — Bối cảnh khảo sát tại trường so với hội đoàn trực tuyến. Dữ liệu của chúng tôi được thu thập trong bối cảnh lớp học trong giờ học bình thường, với nhà nghiên cứu có mặt để trả lời thắc mắc; dữ liệu của Jefferies đến từ các hội đoàn trực tuyến trong đó thanh niên hoàn thành Thang Lo âu Tương tác Xã hội qua khảo sát web. Hai bối cảnh này gợi ra các chuẩn mực bộc lộ bản thân rất khác nhau. Vị thành niên trong lớp học có thể nhạy bén hơn với sự đánh giá từ bạn bè và báo cáo lo âu chân thực hơn khi được bảo đảm bảo mật; thanh niên trong hội đoàn trực tuyến có thể tập trung vào sự nghiệp hơn và giảm thiểu các triệu chứng lo âu. Khác biệt bối cảnh có thể không xóa bỏ phát hiện của Jefferies nhưng có thể lý giải một số khác biệt giới giảm đi qua các bối cảnh thu thập dữ liệu.</w:t>
      </w:r>
    </w:p>
    <w:p>
      <w:pPr>
        <w:spacing w:after="80"/>
        <w:ind w:firstLine="283"/>
        <w:jc w:val="both"/>
      </w:pPr>
      <w:r>
        <w:rPr>
          <w:rFonts w:ascii="Times New Roman" w:hAnsi="Times New Roman"/>
          <w:sz w:val="22"/>
        </w:rPr>
        <w:t>Argument 5 — Methodological factors: instrument, sampling, and sub-sample size. Jefferies used the Social Interaction Anxiety Scale (SIAS), a 20-item measure focused specifically on interaction anxiety; we used the RCADS SAD subscale, a broader 4-item measure capturing social-evaluative anxiety. The instruments overlap but are not identical. Additionally, Jefferies' Vietnam sub-sample (n = 973) is smaller than our sample (n = 1,352), reducing statistical power to detect gender effects within Vietnam specifically. The pooled cross-national analysis may further dilute country-specific gender effects.</w:t>
      </w:r>
    </w:p>
    <w:p>
      <w:pPr>
        <w:spacing w:after="160"/>
        <w:ind w:firstLine="283" w:left="170"/>
        <w:jc w:val="both"/>
      </w:pPr>
      <w:r>
        <w:rPr>
          <w:rFonts w:ascii="Times New Roman" w:hAnsi="Times New Roman"/>
          <w:i/>
          <w:color w:val="333333"/>
          <w:sz w:val="22"/>
        </w:rPr>
        <w:t>Luận chứng 5 — Các yếu tố phương pháp: công cụ, chọn mẫu, và cỡ tiểu mẫu. Jefferies sử dụng Thang Lo âu Tương tác Xã hội (SIAS), một thang 20 mục tập trung cụ thể vào lo âu tương tác; chúng tôi sử dụng phân thang SAD của RCADS, một thang rộng hơn 4 mục bắt được lo âu liên quan đến đánh giá xã hội. Hai công cụ trùng lặp nhưng không đồng nhất. Bên cạnh đó, tiểu mẫu Việt Nam của Jefferies (n = 973) nhỏ hơn mẫu của chúng tôi (n = 1.352), làm giảm sức mạnh thống kê để phát hiện các hiệu ứng giới riêng cho Việt Nam. Phân tích gộp xuyên quốc gia có thể làm loãng thêm các hiệu ứng giới đặc thù theo quốc gia.</w:t>
      </w:r>
    </w:p>
    <w:p>
      <w:pPr>
        <w:spacing w:after="80"/>
        <w:ind w:firstLine="283"/>
        <w:jc w:val="both"/>
      </w:pPr>
      <w:r>
        <w:rPr>
          <w:rFonts w:ascii="Times New Roman" w:hAnsi="Times New Roman"/>
          <w:sz w:val="22"/>
        </w:rPr>
        <w:t>Argument 6 — Age main effect dominates in Jefferies. Jefferies &amp; Ungar (2020) reported a strong main effect of age: anxiety decreased across the 16-29 range, consistent with the well-documented attenuation of internalizing symptoms from late adolescence into adulthood. This strong age effect may statistically dominate any gender × age interaction, especially when age is treated as a covariate rather than as a stratifying variable. In our narrower age range (11-14), the age effect is smaller and gender effects more readily detectable.</w:t>
      </w:r>
    </w:p>
    <w:p>
      <w:pPr>
        <w:spacing w:after="160"/>
        <w:ind w:firstLine="283" w:left="170"/>
        <w:jc w:val="both"/>
      </w:pPr>
      <w:r>
        <w:rPr>
          <w:rFonts w:ascii="Times New Roman" w:hAnsi="Times New Roman"/>
          <w:i/>
          <w:color w:val="333333"/>
          <w:sz w:val="22"/>
        </w:rPr>
        <w:t>Luận chứng 6 — Hiệu ứng chính của tuổi áp đảo trong Jefferies. Jefferies &amp; Ungar (2020) báo cáo một hiệu ứng chính mạnh của tuổi: lo âu giảm trong khoảng 16-29, phù hợp với sự giảm các triệu chứng nội hóa được ghi nhận rộng rãi từ cuối tuổi vị thành niên đến tuổi trưởng thành. Hiệu ứng tuổi mạnh này có thể áp đảo về mặt thống kê bất kỳ tương tác giới × tuổi nào, đặc biệt khi tuổi được xử lý như một biến đồng biến thay vì biến phân tầng. Trong khoảng tuổi hẹp hơn của chúng tôi (11-14), hiệu ứng tuổi nhỏ hơn và các hiệu ứng giới dễ phát hiện hơn.</w:t>
      </w:r>
    </w:p>
    <w:p>
      <w:pPr>
        <w:spacing w:before="200" w:after="80"/>
      </w:pPr>
      <w:r>
        <w:rPr>
          <w:rFonts w:ascii="Times New Roman" w:hAnsi="Times New Roman"/>
          <w:b/>
          <w:color w:val="2E74B5"/>
          <w:sz w:val="24"/>
        </w:rPr>
        <w:t>4.3. Theoretical implications / Hàm ý lý thuyết</w:t>
      </w:r>
    </w:p>
    <w:p>
      <w:pPr>
        <w:spacing w:after="80"/>
        <w:ind w:firstLine="283"/>
        <w:jc w:val="both"/>
      </w:pPr>
      <w:r>
        <w:rPr>
          <w:rFonts w:ascii="Times New Roman" w:hAnsi="Times New Roman"/>
          <w:sz w:val="22"/>
        </w:rPr>
        <w:t>Three theoretical contributions emerge from this work. First, our findings extend Hill &amp; Lynch's (1983) gender role intensification theory — originally developed in Western contexts — to a non-Western Confucian context, supporting its cross-cultural generalizability. Second, the cultural-developmental co-rumination pattern documented by Rose (2002) appears to operate in Vietnamese girls as well, but interacts with Confucian emotional disclosure norms (Small &amp; Blanc 2021) in distinctive ways. Third, tam giao — as a culturally specific framework integrating Buddhism, Confucianism, and Taoism — provides an under-theorized lens for understanding how emotional restraint norms shape gendered SAD expression in Vietnam, deserving deeper theoretical and empirical development in future research.</w:t>
      </w:r>
    </w:p>
    <w:p>
      <w:pPr>
        <w:spacing w:after="160"/>
        <w:ind w:firstLine="283" w:left="170"/>
        <w:jc w:val="both"/>
      </w:pPr>
      <w:r>
        <w:rPr>
          <w:rFonts w:ascii="Times New Roman" w:hAnsi="Times New Roman"/>
          <w:i/>
          <w:color w:val="333333"/>
          <w:sz w:val="22"/>
        </w:rPr>
        <w:t>Ba đóng góp lý thuyết nổi lên từ công trình này. Thứ nhất, phát hiện của chúng tôi mở rộng lý thuyết gia tăng vai trò giới của Hill &amp; Lynch (1983) — ban đầu phát triển trong bối cảnh phương Tây — sang bối cảnh Nho giáo phi phương Tây, hỗ trợ tính tổng quát xuyên văn hóa của nó. Thứ hai, mô hình co-rumination văn hóa-phát triển được Rose (2002) ghi nhận dường như cũng hoạt động ở nữ Việt Nam, nhưng tương tác với các chuẩn mực bộc lộ cảm xúc của Nho giáo (Small &amp; Blanc 2021) theo cách đặc thù. Thứ ba, tam giáo — như một khung lý thuyết đặc thù về văn hóa tích hợp Phật, Nho, Đạo — cung cấp một lăng kính chưa được phát triển đầy đủ để hiểu cách các chuẩn mực chừng mực cảm xúc định hình biểu hiện SAD theo giới ở Việt Nam, xứng đáng được phát triển lý thuyết và thực nghiệm sâu hơn trong nghiên cứu tương lai.</w:t>
      </w:r>
    </w:p>
    <w:p>
      <w:pPr>
        <w:spacing w:before="200" w:after="80"/>
      </w:pPr>
      <w:r>
        <w:rPr>
          <w:rFonts w:ascii="Times New Roman" w:hAnsi="Times New Roman"/>
          <w:b/>
          <w:color w:val="2E74B5"/>
          <w:sz w:val="24"/>
        </w:rPr>
        <w:t>4.4. Practical implications / Hàm ý thực tiễn</w:t>
      </w:r>
    </w:p>
    <w:p>
      <w:pPr>
        <w:spacing w:after="80"/>
        <w:ind w:firstLine="283"/>
        <w:jc w:val="both"/>
      </w:pPr>
      <w:r>
        <w:rPr>
          <w:rFonts w:ascii="Times New Roman" w:hAnsi="Times New Roman"/>
          <w:sz w:val="22"/>
        </w:rPr>
        <w:t>The findings have direct practical implications for gender-tailored prevention programs in Vietnamese schools. For girls in early adolescence (ages 11-14), interventions may benefit from explicit co-rumination disruption techniques — teaching girls to recognize when conversations with friends have shifted from supportive sharing to repetitive worry rumination, and to redirect such conversations toward concrete problem-solving. Complementary components include assertiveness training (especially for navigating peer-evaluation contexts), self-compassion practice (addressing self-criticism rooted in Confucian perfectionism), and explicit psychoeducation about the difference between healthy emotional disclosure and pathological rumination.</w:t>
      </w:r>
    </w:p>
    <w:p>
      <w:pPr>
        <w:spacing w:after="160"/>
        <w:ind w:firstLine="283" w:left="170"/>
        <w:jc w:val="both"/>
      </w:pPr>
      <w:r>
        <w:rPr>
          <w:rFonts w:ascii="Times New Roman" w:hAnsi="Times New Roman"/>
          <w:i/>
          <w:color w:val="333333"/>
          <w:sz w:val="22"/>
        </w:rPr>
        <w:t>Các phát hiện có hàm ý thực tiễn trực tiếp cho các chương trình phòng ngừa đặc thù theo giới ở trường học Việt Nam. Với nữ ở giai đoạn đầu vị thành niên (11-14 tuổi), các can thiệp có thể hưởng lợi từ các kỹ thuật làm gián đoạn co-rumination rõ ràng — dạy các em nhận biết khi các cuộc trò chuyện với bạn đã chuyển từ chia sẻ hỗ trợ sang ngẫm đi ngẫm lại lo lắng, và hướng các cuộc trò chuyện như vậy sang giải quyết vấn đề cụ thể. Các thành phần bổ sung gồm huấn luyện sự quyết đoán (đặc biệt cho việc điều hướng các bối cảnh đánh giá từ bạn bè), thực hành lòng tự trắc ẩn (giải quyết tự phê bình bắt nguồn từ chủ nghĩa hoàn hảo Nho giáo), và giáo dục tâm lý rõ ràng về sự khác biệt giữa bộc lộ cảm xúc lành mạnh và day dứt bệnh lý.</w:t>
      </w:r>
    </w:p>
    <w:p>
      <w:pPr>
        <w:spacing w:after="80"/>
        <w:ind w:firstLine="283"/>
        <w:jc w:val="both"/>
      </w:pPr>
      <w:r>
        <w:rPr>
          <w:rFonts w:ascii="Times New Roman" w:hAnsi="Times New Roman"/>
          <w:sz w:val="22"/>
        </w:rPr>
        <w:t>For boys, interventions may benefit from emotion identification and labeling exercises, since boys are socialized to suppress affective awareness and may under-report anxiety even when clinically present. School-based programs such as FRIENDS for Life and OurFutures — both with established evidence in mixed-gender samples — should be tested in gender-stratified randomized controlled trials (RCTs) in Vietnamese schools to determine whether adding gender-tailored components produces incremental benefit beyond gender-neutral protocols.</w:t>
      </w:r>
    </w:p>
    <w:p>
      <w:pPr>
        <w:spacing w:after="160"/>
        <w:ind w:firstLine="283" w:left="170"/>
        <w:jc w:val="both"/>
      </w:pPr>
      <w:r>
        <w:rPr>
          <w:rFonts w:ascii="Times New Roman" w:hAnsi="Times New Roman"/>
          <w:i/>
          <w:color w:val="333333"/>
          <w:sz w:val="22"/>
        </w:rPr>
        <w:t>Với nam, các can thiệp có thể hưởng lợi từ các bài tập nhận diện và đặt tên cảm xúc, vì nam được xã hội hóa để kìm nén nhận thức cảm xúc và có thể báo cáo dưới mức về lo âu ngay cả khi có biểu hiện lâm sàng. Các chương trình tại trường như FRIENDS for Life và OurFutures — cả hai đều có bằng chứng thiết lập trong các mẫu hỗn hợp giới — nên được kiểm chứng trong các thử nghiệm có đối chứng ngẫu nhiên (RCT) phân tầng theo giới ở trường học Việt Nam để xác định xem việc thêm các thành phần đặc thù giới có tạo lợi ích tăng thêm vượt qua các giao thức trung lập về giới không.</w:t>
      </w:r>
    </w:p>
    <w:p>
      <w:pPr>
        <w:spacing w:before="200" w:after="80"/>
      </w:pPr>
      <w:r>
        <w:rPr>
          <w:rFonts w:ascii="Times New Roman" w:hAnsi="Times New Roman"/>
          <w:b/>
          <w:color w:val="2E74B5"/>
          <w:sz w:val="24"/>
        </w:rPr>
        <w:t>4.5. Limitations / Hạn chế</w:t>
      </w:r>
    </w:p>
    <w:p>
      <w:pPr>
        <w:spacing w:after="80"/>
        <w:ind w:firstLine="283"/>
        <w:jc w:val="both"/>
      </w:pPr>
      <w:r>
        <w:rPr>
          <w:rFonts w:ascii="Times New Roman" w:hAnsi="Times New Roman"/>
          <w:sz w:val="22"/>
        </w:rPr>
        <w:t>We acknowledge four major limitations. First, the cross-sectional design precludes causal inference: we cannot infer that bullying CAUSES SAD more strongly in girls; we can only state that the association is stronger. Longitudinal follow-up is necessary to establish temporal precedence. Second, the single-site Hanoi sample limits generalization to rural Vietnamese youth and ethnic-minority youth (Vietnam has 54 recognized ethnic groups; our sample is predominantly Kinh). Third, self-report instruments are subject to social desirability bias and to gender-biased disclosure norms; girls may be more willing to acknowledge anxiety than boys, which would inflate the observed gender difference. Fourth, single-time-point measurement does not capture developmental trajectories — we cannot test whether gender differences emerge, peak, or fade within our age window.</w:t>
      </w:r>
    </w:p>
    <w:p>
      <w:pPr>
        <w:spacing w:after="160"/>
        <w:ind w:firstLine="283" w:left="170"/>
        <w:jc w:val="both"/>
      </w:pPr>
      <w:r>
        <w:rPr>
          <w:rFonts w:ascii="Times New Roman" w:hAnsi="Times New Roman"/>
          <w:i/>
          <w:color w:val="333333"/>
          <w:sz w:val="22"/>
        </w:rPr>
        <w:t>Chúng tôi thừa nhận bốn hạn chế chính. Thứ nhất, thiết kế cắt ngang không cho phép suy luận nhân quả: chúng tôi không thể kết luận rằng bị bắt nạt GÂY RA SAD mạnh hơn ở nữ; chỉ có thể nói rằng mối liên quan mạnh hơn. Theo dõi dọc là cần thiết để thiết lập trình tự thời gian. Thứ hai, mẫu một địa điểm Hà Nội hạn chế khả năng tổng quát hóa cho thanh thiếu niên Việt Nam ở nông thôn và thanh thiếu niên dân tộc thiểu số (Việt Nam có 54 dân tộc được công nhận; mẫu của chúng tôi chủ yếu là người Kinh). Thứ ba, công cụ tự báo cáo chịu sai lệch do mong muốn xã hội và các chuẩn mực bộc lộ thiên lệch theo giới; nữ có thể sẵn lòng thừa nhận lo âu hơn nam, điều này sẽ phóng đại khác biệt giới quan sát được. Thứ tư, đo lường một thời điểm không bắt được quỹ đạo phát triển — chúng tôi không thể kiểm chứng liệu khác biệt giới xuất hiện, đạt đỉnh, hay phai dần trong cửa sổ tuổi của mẫu.</w:t>
      </w:r>
    </w:p>
    <w:p>
      <w:pPr>
        <w:spacing w:before="200" w:after="80"/>
      </w:pPr>
      <w:r>
        <w:rPr>
          <w:rFonts w:ascii="Times New Roman" w:hAnsi="Times New Roman"/>
          <w:b/>
          <w:color w:val="2E74B5"/>
          <w:sz w:val="24"/>
        </w:rPr>
        <w:t>4.6. Future directions / Hướng nghiên cứu tiếp theo</w:t>
      </w:r>
    </w:p>
    <w:p>
      <w:pPr>
        <w:spacing w:after="80"/>
        <w:ind w:firstLine="283"/>
        <w:jc w:val="both"/>
      </w:pPr>
      <w:r>
        <w:rPr>
          <w:rFonts w:ascii="Times New Roman" w:hAnsi="Times New Roman"/>
          <w:sz w:val="22"/>
        </w:rPr>
        <w:t>Three priorities for future research. First, a longitudinal cohort study following the present sample through transition to upper secondary (ages 16-18) and into emerging adulthood (ages 18-22) would test whether the gender gap closes — providing a direct test of the developmental peak hypothesis and a definitive reconciliation with Jefferies &amp; Ungar (2020). Second, replication of the multi-group SEM in rural Vietnamese and ethnic-minority cohorts would test cultural moderation hypotheses. Third, our planned Q4 paper applies latent profile analysis (LPA) to the same cohort to identify person-centered phenotype profiles — complementing the variable-centered findings here with a person-centered typology of Vietnamese adolescent anxiety. A qualitative companion study probing gendered emotional disclosure norms is also planned to illuminate WHY gender pathways differ.</w:t>
      </w:r>
    </w:p>
    <w:p>
      <w:pPr>
        <w:spacing w:after="160"/>
        <w:ind w:firstLine="283" w:left="170"/>
        <w:jc w:val="both"/>
      </w:pPr>
      <w:r>
        <w:rPr>
          <w:rFonts w:ascii="Times New Roman" w:hAnsi="Times New Roman"/>
          <w:i/>
          <w:color w:val="333333"/>
          <w:sz w:val="22"/>
        </w:rPr>
        <w:t>Ba ưu tiên cho nghiên cứu tương lai. Thứ nhất, một nghiên cứu cohort theo dõi mẫu hiện tại qua chuyển tiếp lên trung học phổ thông (16-18 tuổi) và vào giai đoạn đầu trưởng thành (18-22 tuổi) sẽ kiểm chứng xem khoảng cách giới có khép lại không — cung cấp kiểm định trực tiếp giả thuyết đỉnh điểm phát triển và sự lý giải dứt khoát với Jefferies &amp; Ungar (2020). Thứ hai, lặp lại SEM đa nhóm trên các cohort Việt Nam ở nông thôn và dân tộc thiểu số sẽ kiểm chứng các giả thuyết về sự điều tiết bởi văn hóa. Thứ ba, bài Q4 đã lên kế hoạch của chúng tôi áp dụng phân tích hồ sơ tiềm ẩn (LPA) cho cùng cohort để xác định các hồ sơ phân loại lấy con người làm trung tâm — bổ sung cho các phát hiện lấy biến làm trung tâm ở đây bằng một phân loại lấy con người làm trung tâm về lo âu vị thành niên Việt Nam. Một nghiên cứu định tính đồng hành thăm dò các chuẩn mực bộc lộ cảm xúc theo giới cũng đã được lên kế hoạch để làm sáng tỏ VÌ SAO các đường dẫn giới khác nhau.</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 DOI: 10.1016/j.cpr.2009.05.003.</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National Comorbidity Survey Replication.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Conventional criteria versus new alternatives.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A meta-analysis and narrative review. Psychological Bulletin 143(9):939-991. PMID: 28616996. DOI: 10.1037/bul0000110.</w:t>
      </w:r>
    </w:p>
    <w:p>
      <w:pPr>
        <w:spacing w:after="80"/>
        <w:ind w:left="425" w:hanging="425"/>
      </w:pPr>
      <w:r>
        <w:rPr>
          <w:rFonts w:ascii="Times New Roman" w:hAnsi="Times New Roman"/>
          <w:sz w:val="20"/>
        </w:rPr>
        <w:t>[13] Chorpita BF, Yim L, Moffitt C, Umemoto LA, Francis SE. (2000). Assessment of symptoms of DSM-IV anxiety and depression in children: A revised child anxiety and depression scale. Behaviour Research and Therapy 38(8):835-855. PMID: 10937431.</w:t>
      </w:r>
    </w:p>
    <w:p>
      <w:pPr>
        <w:spacing w:after="80"/>
        <w:ind w:left="425" w:hanging="425"/>
      </w:pPr>
      <w:r>
        <w:rPr>
          <w:rFonts w:ascii="Times New Roman" w:hAnsi="Times New Roman"/>
          <w:sz w:val="20"/>
        </w:rPr>
        <w:t>[14] Olweus D. (1996). The Revised Olweus Bully/Victim Questionnaire. University of Bergen, Norway.</w:t>
      </w:r>
    </w:p>
    <w:p>
      <w:pPr>
        <w:spacing w:after="80"/>
        <w:ind w:left="425" w:hanging="425"/>
      </w:pPr>
      <w:r>
        <w:rPr>
          <w:rFonts w:ascii="Times New Roman" w:hAnsi="Times New Roman"/>
          <w:sz w:val="20"/>
        </w:rPr>
        <w:t>[15] Sun J, Dunne MP, Hou XY, Xu AQ. (2011). Educational stress scale for adolescents: Development, validity, and reliability with Chinese students. Journal of Psychoeducational Assessment 29(6):534-546.</w:t>
      </w:r>
    </w:p>
    <w:p>
      <w:pPr>
        <w:spacing w:after="80"/>
        <w:ind w:left="425" w:hanging="425"/>
      </w:pPr>
      <w:r>
        <w:rPr>
          <w:rFonts w:ascii="Times New Roman" w:hAnsi="Times New Roman"/>
          <w:sz w:val="20"/>
        </w:rPr>
        <w:t>[16] Kwon M, Kim DJ, Cho H, Yang S. (2013). The smartphone addiction scale: Development and validation of a short version for adolescents. PLOS ONE 8(12):e83558. PMID: 24391787.</w:t>
      </w:r>
    </w:p>
    <w:p>
      <w:pPr>
        <w:spacing w:after="80"/>
        <w:ind w:left="425" w:hanging="425"/>
      </w:pPr>
      <w:r>
        <w:rPr>
          <w:rFonts w:ascii="Times New Roman" w:hAnsi="Times New Roman"/>
          <w:sz w:val="20"/>
        </w:rPr>
        <w:t>[17] Goodenow C. (1993). The psychological sense of school membership among adolescents: Scale development and educational correlates. Psychology in the Schools 30(1):79-90.</w:t>
      </w:r>
    </w:p>
    <w:p>
      <w:pPr>
        <w:spacing w:after="80"/>
        <w:ind w:left="425" w:hanging="425"/>
      </w:pPr>
      <w:r>
        <w:rPr>
          <w:rFonts w:ascii="Times New Roman" w:hAnsi="Times New Roman"/>
          <w:sz w:val="20"/>
        </w:rPr>
        <w:t>[18] Zimet GD, Dahlem NW, Zimet SG, Farley GK. (1988). The Multidimensional Scale of Perceived Social Support. Journal of Personality Assessment 52(1):30-41.</w:t>
      </w:r>
    </w:p>
    <w:p>
      <w:pPr>
        <w:spacing w:after="80"/>
        <w:ind w:left="425" w:hanging="425"/>
      </w:pPr>
      <w:r>
        <w:rPr>
          <w:rFonts w:ascii="Times New Roman" w:hAnsi="Times New Roman"/>
          <w:sz w:val="20"/>
        </w:rPr>
        <w:t>[19] Rosenberg M. (1965). Society and the adolescent self-image. Princeton University Press.</w:t>
      </w:r>
    </w:p>
    <w:p>
      <w:pPr>
        <w:spacing w:before="400"/>
        <w:jc w:val="center"/>
      </w:pPr>
      <w:r>
        <w:rPr>
          <w:rFonts w:ascii="Times New Roman" w:hAnsi="Times New Roman"/>
          <w:i/>
          <w:color w:val="808080"/>
          <w:sz w:val="20"/>
        </w:rPr>
        <w:t>Soạn 08/06/2026 — Bản thảo đầy đủ Q3 phiên bản 1 — chờ NCS + thầy NMĐ review trước khi đăng ký trước trên OSF</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