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28"/>
        </w:rPr>
        <w:t>Gender-specific pathways to anxiety disorders in early adolescence: A multi-group structural equation model in Vietnamese lower secondary students</w:t>
      </w:r>
    </w:p>
    <w:p>
      <w:pPr>
        <w:jc w:val="center"/>
      </w:pPr>
      <w:r>
        <w:rPr>
          <w:rFonts w:ascii="Times New Roman" w:hAnsi="Times New Roman"/>
          <w:b/>
          <w:i/>
          <w:sz w:val="24"/>
        </w:rPr>
        <w:t>Các đường dẫn đặc thù theo giới đến các rối loạn lo âu ở giai đoạn đầu tuổi vị thành niên: Mô hình phương trình cấu trúc đa nhóm trên học sinh trung học cơ sở Việt Nam</w:t>
      </w:r>
    </w:p>
    <w:p>
      <w:pPr>
        <w:jc w:val="center"/>
      </w:pPr>
      <w:r>
        <w:rPr>
          <w:rFonts w:ascii="Times New Roman" w:hAnsi="Times New Roman"/>
          <w:i/>
          <w:color w:val="808080"/>
          <w:sz w:val="20"/>
        </w:rPr>
        <w:t>Cong Thi Hang¹*, Dao Minh Duc¹, Nguyen Minh Duc²†</w:t>
      </w:r>
    </w:p>
    <w:p>
      <w:pPr>
        <w:jc w:val="center"/>
      </w:pPr>
      <w:r>
        <w:rPr>
          <w:rFonts w:ascii="Times New Roman" w:hAnsi="Times New Roman"/>
          <w:i/>
          <w:color w:val="808080"/>
          <w:sz w:val="20"/>
        </w:rPr>
        <w:t>¹ Faculty of Psychology and Education, Hanoi National University of Education, Hanoi, Vietnam | ² [Affiliation TBD — confirm with Nguyen Minh Duc] | * Correspondence: hangct@hnue.edu.vn | † Senior author</w:t>
      </w:r>
    </w:p>
    <w:p>
      <w:pPr>
        <w:jc w:val="center"/>
      </w:pPr>
      <w:r>
        <w:rPr>
          <w:rFonts w:ascii="Times New Roman" w:hAnsi="Times New Roman"/>
          <w:i/>
          <w:color w:val="808080"/>
          <w:sz w:val="20"/>
        </w:rPr>
        <w:t>Target journal: Frontiers in Psychiatry — Adolescent and Young Adult Psychiatry section</w:t>
      </w:r>
    </w:p>
    <w:p>
      <w:pPr>
        <w:spacing w:before="320" w:after="160"/>
      </w:pPr>
      <w:r>
        <w:rPr>
          <w:rFonts w:ascii="Times New Roman" w:hAnsi="Times New Roman"/>
          <w:b/>
          <w:color w:val="C00000"/>
          <w:sz w:val="28"/>
        </w:rPr>
        <w:t>ABSTRACT — TÓM TẮT</w:t>
      </w:r>
    </w:p>
    <w:p>
      <w:pPr>
        <w:spacing w:before="200" w:after="80"/>
      </w:pPr>
      <w:r>
        <w:rPr>
          <w:rFonts w:ascii="Times New Roman" w:hAnsi="Times New Roman"/>
          <w:b/>
          <w:color w:val="2E74B5"/>
          <w:sz w:val="24"/>
        </w:rPr>
        <w:t>Background — Bối cảnh</w:t>
      </w:r>
    </w:p>
    <w:p>
      <w:pPr>
        <w:spacing w:after="80"/>
        <w:ind w:firstLine="283"/>
        <w:jc w:val="both"/>
      </w:pPr>
      <w:r>
        <w:rPr>
          <w:rFonts w:ascii="Times New Roman" w:hAnsi="Times New Roman"/>
          <w:sz w:val="22"/>
        </w:rPr>
        <w:t>Adolescent anxiety disorders are consistently more prevalent among girls than boys in international epidemiological studies, with the gender gap emerging around puberty. However, the largest cross-national study to date — Jefferies &amp; Ungar (2020), with 6,825 participants aged 16-29 across seven countries — found no overall gender difference in Social Anxiety Disorder among young adults. Our preliminary data on 1,352 Vietnamese lower secondary students (ages 11-14) show female-higher scores on SAD, raising a central research question: are the risk-protective pathways that predict anxiety invariant across gender in early adolescence?</w:t>
      </w:r>
    </w:p>
    <w:p>
      <w:pPr>
        <w:spacing w:after="160"/>
        <w:ind w:firstLine="283" w:left="170"/>
        <w:jc w:val="both"/>
      </w:pPr>
      <w:r>
        <w:rPr>
          <w:rFonts w:ascii="Times New Roman" w:hAnsi="Times New Roman"/>
          <w:i/>
          <w:color w:val="333333"/>
          <w:sz w:val="22"/>
        </w:rPr>
        <w:t>Các rối loạn lo âu ở tuổi vị thành niên thường xuyên xảy ra phổ biến hơn ở nữ so với nam trong các nghiên cứu dịch tễ quốc tế, với khoảng cách giới xuất hiện quanh tuổi dậy thì. Tuy nhiên, nghiên cứu xuyên quốc gia lớn nhất đến nay — Jefferies &amp; Ungar (2020) với 6.825 người tham gia tuổi 16-29 trên bảy quốc gia — không tìm thấy khác biệt giới tổng thể về Rối loạn Lo âu Xã hội ở thanh niên. Dữ liệu sơ bộ của chúng tôi trên 1.352 học sinh trung học cơ sở Việt Nam (tuổi 11-14) cho thấy điểm SAD của nữ cao hơn nam, đặt ra câu hỏi nghiên cứu cốt lõi: liệu các đường dẫn nguy cơ-bảo vệ dự đoán lo âu có giữ nguyên giữa hai giới ở giai đoạn đầu tuổi vị thành niên không?</w:t>
      </w:r>
    </w:p>
    <w:p>
      <w:pPr>
        <w:spacing w:before="200" w:after="80"/>
      </w:pPr>
      <w:r>
        <w:rPr>
          <w:rFonts w:ascii="Times New Roman" w:hAnsi="Times New Roman"/>
          <w:b/>
          <w:color w:val="2E74B5"/>
          <w:sz w:val="24"/>
        </w:rPr>
        <w:t>Methods — Phương pháp</w:t>
      </w:r>
    </w:p>
    <w:p>
      <w:pPr>
        <w:spacing w:after="80"/>
        <w:ind w:firstLine="283"/>
        <w:jc w:val="both"/>
      </w:pPr>
      <w:r>
        <w:rPr>
          <w:rFonts w:ascii="Times New Roman" w:hAnsi="Times New Roman"/>
          <w:sz w:val="22"/>
        </w:rPr>
        <w:t>Cross-sectional survey of 1,352 Vietnamese lower secondary students (614 boys, 738 girls; ages 11-14) recruited from two schools in Hanoi (Nhat Tan urban, Tay Mo suburban). Eight validated scales measured three risk factors (bullying victimization, academic stress, smartphone addiction), four protective factors (school membership, parental support, peer support, self-esteem), and three DSM-5 anxiety subtypes (Generalized Anxiety, Social Anxiety, Separation Anxiety). Multi-group structural equation modeling tested measurement invariance (configural, metric, scalar) and structural invariance of 21 hypothesized pathways. Criteria: ΔCFI ≤ 0.01 (Cheung &amp; Rensvold 2002), ΔRMSEA ≤ 0.015 (Chen 2007). Pre-registered on OSF prior to analysis.</w:t>
      </w:r>
    </w:p>
    <w:p>
      <w:pPr>
        <w:spacing w:after="160"/>
        <w:ind w:firstLine="283" w:left="170"/>
        <w:jc w:val="both"/>
      </w:pPr>
      <w:r>
        <w:rPr>
          <w:rFonts w:ascii="Times New Roman" w:hAnsi="Times New Roman"/>
          <w:i/>
          <w:color w:val="333333"/>
          <w:sz w:val="22"/>
        </w:rPr>
        <w:t>Khảo sát cắt ngang trên 1.352 học sinh trung học cơ sở Việt Nam (614 nam, 738 nữ; tuổi 11-14), tuyển từ hai trường tại Hà Nội (Nhật Tân đô thị, Tây Mỗ ngoại ô). Tám thang đo đã chuẩn hóa đo lường ba yếu tố nguy cơ (bị bắt nạt, áp lực học tập, nghiện điện thoại), bốn yếu tố bảo vệ (sự gắn bó với trường, sự hỗ trợ từ cha mẹ, sự hỗ trợ từ bạn bè, lòng tự trọng), và ba phân loại lo âu theo DSM-5 (Lo âu Lan tỏa, Lo âu Xã hội, Lo âu Chia ly). Mô hình phương trình cấu trúc đa nhóm kiểm chứng bất biến thang đo (bất biến cấu hình, bất biến hệ số tải, bất biến ngưỡng) và bất biến cấu trúc của 21 đường dẫn đã giả thuyết. Tiêu chí: ΔCFI ≤ 0,01 (Cheung &amp; Rensvold 2002), ΔRMSEA ≤ 0,015 (Chen 2007). Đăng ký trước trên nền tảng OSF trước khi phân tích.</w:t>
      </w:r>
    </w:p>
    <w:p>
      <w:pPr>
        <w:spacing w:before="200" w:after="80"/>
      </w:pPr>
      <w:r>
        <w:rPr>
          <w:rFonts w:ascii="Times New Roman" w:hAnsi="Times New Roman"/>
          <w:b/>
          <w:color w:val="2E74B5"/>
          <w:sz w:val="24"/>
        </w:rPr>
        <w:t>Results — Kết quả (dự kiến — chờ phân tích)</w:t>
      </w:r>
    </w:p>
    <w:p>
      <w:pPr>
        <w:spacing w:after="80"/>
        <w:ind w:firstLine="283"/>
        <w:jc w:val="both"/>
      </w:pPr>
      <w:r>
        <w:rPr>
          <w:rFonts w:ascii="Times New Roman" w:hAnsi="Times New Roman"/>
          <w:sz w:val="22"/>
        </w:rPr>
        <w:t>Measurement invariance is expected to be supported at all three levels. For structural invariance, we anticipate identifying a subset of non-invariant pathways — particularly bullying → SAD (stronger in girls based on developmental theory; exact β values await analysis). Effect sizes (β, 95% CI) and z-tests of cross-gender coefficient differences will be reported for all 21 pathways. R² will be reported separately for boys and girls (vs pooled R² = 0.598 from our preceding Q2 paper).</w:t>
      </w:r>
    </w:p>
    <w:p>
      <w:pPr>
        <w:spacing w:after="160"/>
        <w:ind w:firstLine="283" w:left="170"/>
        <w:jc w:val="both"/>
      </w:pPr>
      <w:r>
        <w:rPr>
          <w:rFonts w:ascii="Times New Roman" w:hAnsi="Times New Roman"/>
          <w:i/>
          <w:color w:val="333333"/>
          <w:sz w:val="22"/>
        </w:rPr>
        <w:t>Bất biến thang đo dự kiến được hỗ trợ ở cả ba cấp. Về bất biến cấu trúc, chúng tôi dự đoán nhận diện được một nhóm đường dẫn không bất biến — đặc biệt bị bắt nạt → SAD (mạnh hơn ở nữ dựa trên lý thuyết phát triển; giá trị β chính xác chờ phân tích). Hệ số ảnh hưởng (β, khoảng tin cậy 95%) và kiểm định z so sánh chênh lệch hệ số giữa hai giới sẽ được báo cáo cho cả 21 đường dẫn. R² sẽ được báo cáo riêng cho nam và nữ (so với R² mẫu gộp = 0,598 từ bài Q2 trước đó của chúng tôi).</w:t>
      </w:r>
    </w:p>
    <w:p>
      <w:pPr>
        <w:spacing w:before="200" w:after="80"/>
      </w:pPr>
      <w:r>
        <w:rPr>
          <w:rFonts w:ascii="Times New Roman" w:hAnsi="Times New Roman"/>
          <w:b/>
          <w:color w:val="2E74B5"/>
          <w:sz w:val="24"/>
        </w:rPr>
        <w:t>Conclusions — Kết luận</w:t>
      </w:r>
    </w:p>
    <w:p>
      <w:pPr>
        <w:spacing w:after="80"/>
        <w:ind w:firstLine="283"/>
        <w:jc w:val="both"/>
      </w:pPr>
      <w:r>
        <w:rPr>
          <w:rFonts w:ascii="Times New Roman" w:hAnsi="Times New Roman"/>
          <w:sz w:val="22"/>
        </w:rPr>
        <w:t>The findings will inform gender-tailored prevention programs in Vietnamese schools and reconcile the discrepancy between our sample and Jefferies &amp; Ungar (2020) through a developmental-cultural framework. Three theoretical mechanisms are advanced: (i) developmental peak vulnerability at ages 11-14, (ii) Confucian-Vietnamese gender expectations amplifying social-evaluative anxiety in girls, and (iii) tam giao (three teachings) emotional restraint norms shaping gendered SAD expression.</w:t>
      </w:r>
    </w:p>
    <w:p>
      <w:pPr>
        <w:spacing w:after="160"/>
        <w:ind w:firstLine="283" w:left="170"/>
        <w:jc w:val="both"/>
      </w:pPr>
      <w:r>
        <w:rPr>
          <w:rFonts w:ascii="Times New Roman" w:hAnsi="Times New Roman"/>
          <w:i/>
          <w:color w:val="333333"/>
          <w:sz w:val="22"/>
        </w:rPr>
        <w:t>Các phát hiện sẽ cung cấp thông tin cho các chương trình phòng ngừa đặc thù theo giới ở trường học Việt Nam và lý giải sự khác biệt giữa mẫu của chúng tôi với Jefferies &amp; Ungar (2020) thông qua khung lý thuyết phát triển-văn hóa. Ba cơ chế lý thuyết được đề xuất: (i) đỉnh điểm tổn thương phát triển ở tuổi 11-14, (ii) kỳ vọng giới Nho giáo-Việt Nam khuếch đại lo âu liên quan đến đánh giá xã hội ở nữ, và (iii) các chuẩn mực chừng mực cảm xúc của tam giáo định hình biểu hiện SAD theo giới.</w:t>
      </w:r>
    </w:p>
    <w:p>
      <w:pPr>
        <w:spacing w:before="200" w:after="80"/>
      </w:pPr>
      <w:r>
        <w:rPr>
          <w:rFonts w:ascii="Times New Roman" w:hAnsi="Times New Roman"/>
          <w:b/>
          <w:color w:val="2E74B5"/>
          <w:sz w:val="24"/>
        </w:rPr>
        <w:t>Keywords — Từ khóa</w:t>
      </w:r>
    </w:p>
    <w:p>
      <w:pPr>
        <w:spacing w:after="80"/>
        <w:ind w:firstLine="283"/>
        <w:jc w:val="both"/>
      </w:pPr>
      <w:r>
        <w:rPr>
          <w:rFonts w:ascii="Times New Roman" w:hAnsi="Times New Roman"/>
          <w:sz w:val="22"/>
        </w:rPr>
        <w:t>adolescent anxiety; gender differences; multi-group SEM; measurement invariance; Vietnam; Confucian culture; tam giao; co-rumination</w:t>
      </w:r>
    </w:p>
    <w:p>
      <w:pPr>
        <w:spacing w:after="160"/>
        <w:ind w:firstLine="283" w:left="170"/>
        <w:jc w:val="both"/>
      </w:pPr>
      <w:r>
        <w:rPr>
          <w:rFonts w:ascii="Times New Roman" w:hAnsi="Times New Roman"/>
          <w:i/>
          <w:color w:val="333333"/>
          <w:sz w:val="22"/>
        </w:rPr>
        <w:t>lo âu vị thành niên; khác biệt giới; SEM đa nhóm; bất biến thang đo; Việt Nam; văn hóa Nho giáo; tam giáo; cùng nhau day dứt (co-rumination)</w:t>
      </w:r>
    </w:p>
    <w:p>
      <w:pPr>
        <w:spacing w:before="320" w:after="160"/>
      </w:pPr>
      <w:r>
        <w:rPr>
          <w:rFonts w:ascii="Times New Roman" w:hAnsi="Times New Roman"/>
          <w:b/>
          <w:color w:val="C00000"/>
          <w:sz w:val="28"/>
        </w:rPr>
        <w:t>1. INTRODUCTION — DẪN NHẬP</w:t>
      </w:r>
    </w:p>
    <w:p>
      <w:pPr>
        <w:spacing w:before="200" w:after="80"/>
      </w:pPr>
      <w:r>
        <w:rPr>
          <w:rFonts w:ascii="Times New Roman" w:hAnsi="Times New Roman"/>
          <w:b/>
          <w:color w:val="2E74B5"/>
          <w:sz w:val="24"/>
        </w:rPr>
        <w:t>1.1. The gender paradox in adolescent anxiety / Nghịch lý giới trong lo âu vị thành niên</w:t>
      </w:r>
    </w:p>
    <w:p>
      <w:pPr>
        <w:spacing w:after="80"/>
        <w:ind w:firstLine="283"/>
        <w:jc w:val="both"/>
      </w:pPr>
      <w:r>
        <w:rPr>
          <w:rFonts w:ascii="Times New Roman" w:hAnsi="Times New Roman"/>
          <w:sz w:val="22"/>
        </w:rPr>
        <w:t>Anxiety disorders are among the most common mental health conditions in adolescence. Recent global burden analyses show a 52% increase in anxiety incidence among youth aged 10-24 from 1990 to 2021, with a steep rise post-2019 reflecting COVID-19 impact (Bie et al. 2024); a 2024 meta-analysis of 38 studies estimated global social anxiety disorder prevalence at 8.3% in adolescents and 17% in young adults (Salari et al. 2024)., affecting approximately 8-12% of youth worldwide. International epidemiological studies have consistently documented that girls show higher rates of anxiety disorders than boys, with the gender gap emerging around puberty (McLean &amp; Anderson 2009; Hankin et al. 2007). The U.S. National Comorbidity Survey Replication reported that approximately half of all lifetime anxiety disorders have an onset by age 14 (Kessler et al. 2005), and girls reach peak vulnerability earlier than boys. Mô hình vững finding has motivated decades of research into the developmental and biopsychosocial mechanisms underlying gendered patterns of anxiety risk.</w:t>
      </w:r>
    </w:p>
    <w:p>
      <w:pPr>
        <w:spacing w:after="160"/>
        <w:ind w:firstLine="283" w:left="170"/>
        <w:jc w:val="both"/>
      </w:pPr>
      <w:r>
        <w:rPr>
          <w:rFonts w:ascii="Times New Roman" w:hAnsi="Times New Roman"/>
          <w:i/>
          <w:color w:val="333333"/>
          <w:sz w:val="22"/>
        </w:rPr>
        <w:t>Các rối loạn lo âu là một trong những vấn đề sức khỏe tâm thần phổ biến nhất ở tuổi vị thành niên. Các phân tích gánh nặng bệnh tật toàn cầu gần đây cho thấy tỷ lệ mới mắc lo âu ở thanh thiếu niên 10-24 tuổi tăng 52% từ 1990 đến 2021, với mức tăng vọt sau 2019 phản ánh tác động của COVID-19 (Bie và cs. 2024); một phân tích tổng hợp 38 nghiên cứu năm 2024 ước tính tỷ lệ lưu hành Rối loạn Lo âu Xã hội toàn cầu là 8,3% ở vị thành niên và 17% ở thanh niên (Salari và cs. 2024)., ảnh hưởng đến khoảng 8-12% thanh thiếu niên trên toàn thế giới. Các nghiên cứu dịch tễ quốc tế đã ghi nhận thường xuyên rằng nữ có tỷ lệ mắc các rối loạn lo âu cao hơn nam, với khoảng cách giới xuất hiện quanh tuổi dậy thì (McLean &amp; Anderson 2009; Hankin và cs. 2007). Khảo sát Phối hợp Quốc gia Hoa Kỳ (NCS-R) báo cáo rằng khoảng một nửa số ca rối loạn lo âu trong đời khởi phát trước 14 tuổi (Kessler và cs. 2005), và nữ đạt đỉnh tổn thương sớm hơn nam. Phát hiện vững chắc này đã thúc đẩy hàng thập kỷ nghiên cứu về các cơ chế phát triển và sinh-tâm-xã hội ẩn dưới các mô hình giới của nguy cơ lo âu.</w:t>
      </w:r>
    </w:p>
    <w:p>
      <w:pPr>
        <w:spacing w:after="80"/>
        <w:ind w:firstLine="283"/>
        <w:jc w:val="both"/>
      </w:pPr>
      <w:r>
        <w:rPr>
          <w:rFonts w:ascii="Times New Roman" w:hAnsi="Times New Roman"/>
          <w:sz w:val="22"/>
        </w:rPr>
        <w:t>However, this gender-difference pattern does not consistently replicate in all studies. Jefferies &amp; Ungar (2020) conducted the largest cross-national study of Social Anxiety Disorder (SAD) to date, surveying 6,825 young adults aged 16-29 across seven countries (Australia, Brazil, China, Indonesia, Russia, USA, Vietnam) using the Social Interaction Anxiety Scale. Strikingly, they found no overall gender effect on SAD in the pooled cross-national sample. Two interpretations are possible. Either gender differences in social anxiety genuinely disappear by young adulthood, or methodological and contextual factors obscured the difference in their sample. Distinguishing these interpretations requires testing in younger adolescent cohorts where the gender gap should still be detectable.</w:t>
      </w:r>
    </w:p>
    <w:p>
      <w:pPr>
        <w:spacing w:after="160"/>
        <w:ind w:firstLine="283" w:left="170"/>
        <w:jc w:val="both"/>
      </w:pPr>
      <w:r>
        <w:rPr>
          <w:rFonts w:ascii="Times New Roman" w:hAnsi="Times New Roman"/>
          <w:i/>
          <w:color w:val="333333"/>
          <w:sz w:val="22"/>
        </w:rPr>
        <w:t>Tuy nhiên, mô hình khác biệt giới này không nhất quán trong tất cả các nghiên cứu. Jefferies &amp; Ungar (2020) tiến hành nghiên cứu xuyên quốc gia lớn nhất về Rối loạn Lo âu Xã hội (SAD) đến nay, khảo sát 6.825 thanh niên tuổi 16-29 trên bảy quốc gia (Úc, Brazil, Trung Quốc, Indonesia, Nga, Mỹ, Việt Nam) sử dụng Thang Lo âu Tương tác Xã hội (SIAS). Đáng chú ý, họ không tìm thấy hiệu ứng giới tổng thể trên SAD trong mẫu gộp xuyên quốc gia. Có hai cách diễn giải. Hoặc khác biệt giới trong lo âu xã hội thực sự biến mất khi đến tuổi thanh niên, hoặc các yếu tố phương pháp và bối cảnh đã che giấu khác biệt trong mẫu của họ. Phân biệt hai cách diễn giải này đòi hỏi phải kiểm chứng trong các cohort vị thành niên trẻ tuổi hơn, nơi khoảng cách giới vẫn còn phát hiện được.</w:t>
      </w:r>
    </w:p>
    <w:p>
      <w:pPr>
        <w:spacing w:before="200" w:after="80"/>
      </w:pPr>
      <w:r>
        <w:rPr>
          <w:rFonts w:ascii="Times New Roman" w:hAnsi="Times New Roman"/>
          <w:b/>
          <w:color w:val="2E74B5"/>
          <w:sz w:val="24"/>
        </w:rPr>
        <w:t>1.2. Three explanations for the discrepancy / Ba lời giải cho khác biệt</w:t>
      </w:r>
    </w:p>
    <w:p>
      <w:pPr>
        <w:spacing w:after="80"/>
        <w:ind w:firstLine="283"/>
        <w:jc w:val="both"/>
      </w:pPr>
      <w:r>
        <w:rPr>
          <w:rFonts w:ascii="Times New Roman" w:hAnsi="Times New Roman"/>
          <w:sz w:val="22"/>
        </w:rPr>
        <w:t>Có ba cơ chế lý thuyết — đứng riêng lẻ hoặc kết hợp — có thể lý giải tại sao khác biệt giới về lo âu xuất hiện rõ ở giai đoạn đầu tuổi vị thành niên (11-14) rồi mờ đi hoặc biến mất ở giai đoạn thanh niên (16-29). Trước hết là cơ chế đỉnh dễ tổn thương ở giai đoạn phát triển — dựa trên on Hill &amp; Lynch's (1983) gender role intensification hypothesis and Rose's (2002) co-rumination research. Both phenomena reach their highest expression in middle school years (approximately ages 11-14), creating a developmental window in which girls become especially vulnerable to social-evaluative anxiety. Gender role intensification refers to the increased pressure adolescent girls face to conform to feminine norms (passivity, agreeableness, appearance focus). Co-rumination refers to the tendency of female adolescent friendships to dwell repeatedly on shared worries — a pattern that can intensify anxiety even while strengthening friendship bonds.</w:t>
      </w:r>
    </w:p>
    <w:p>
      <w:pPr>
        <w:spacing w:after="160"/>
        <w:ind w:firstLine="283" w:left="170"/>
        <w:jc w:val="both"/>
      </w:pPr>
      <w:r>
        <w:rPr>
          <w:rFonts w:ascii="Times New Roman" w:hAnsi="Times New Roman"/>
          <w:i/>
          <w:color w:val="333333"/>
          <w:sz w:val="22"/>
        </w:rPr>
        <w:t>Chúng tôi đề xuất ba cơ chế lý thuyết — riêng lẻ hoặc kết hợp — có thể giải thích vì sao khác biệt giới trong lo âu xuất hiện ở giai đoạn đầu tuổi vị thành niên (11-14) nhưng biến mất hoặc giảm đi ở giai đoạn thanh niên (16-29). Cơ chế thứ nhất — đỉnh điểm tổn thương phát triển — dựa trên giả thuyết gia tăng vai trò giới của Hill &amp; Lynch (1983) và nghiên cứu co-rumination của Rose (2002). Cả hai hiện tượng đều đạt biểu hiện cao nhất trong những năm trung học cơ sở (khoảng 11-14 tuổi), tạo ra một cửa sổ phát triển trong đó nữ trở nên đặc biệt dễ tổn thương trước lo âu liên quan đến đánh giá xã hội. Gia tăng vai trò giới chỉ áp lực ngày càng tăng mà nữ vị thành niên phải tuân theo các chuẩn mực nữ tính (thụ động, dễ chiều, chú trọng ngoại hình). Co-rumination — cùng đào sâu lo lắng — chỉ xu hướng tình bạn của nữ vị thành niên đào sâu lặp đi lặp lại các lo lắng chung — mẫu hình có thể làm lo âu mạnh hơn ngay cả khi củng cố mối quan hệ bạn bè.</w:t>
      </w:r>
    </w:p>
    <w:p>
      <w:pPr>
        <w:spacing w:after="80"/>
        <w:ind w:firstLine="283"/>
        <w:jc w:val="both"/>
      </w:pPr>
      <w:r>
        <w:rPr>
          <w:rFonts w:ascii="Times New Roman" w:hAnsi="Times New Roman"/>
          <w:sz w:val="22"/>
        </w:rPr>
        <w:t>The second mechanism — cultural moderation — proposes that Confucian academic culture in East Asia, particularly in Vietnam, imposes stricter gender expectations on girls than Western contexts do. Stankov (2010) documented that Confucian-heritage students experience high academic achievement coupled with elevated test anxiety and self-doubt; this pattern is especially pronounced in girls who face dual pressure to excel academically and to conform to traditional female roles. Small &amp; Blanc (2021) further documented how the integrated worldview of tam giao (three teachings: Buddhism, Confucianism, and Taoism) shapes distinctively Vietnamese norms of emotional restraint and self-disclosure, with gendered implications for how anxiety is experienced and expressed.</w:t>
      </w:r>
    </w:p>
    <w:p>
      <w:pPr>
        <w:spacing w:after="160"/>
        <w:ind w:firstLine="283" w:left="170"/>
        <w:jc w:val="both"/>
      </w:pPr>
      <w:r>
        <w:rPr>
          <w:rFonts w:ascii="Times New Roman" w:hAnsi="Times New Roman"/>
          <w:i/>
          <w:color w:val="333333"/>
          <w:sz w:val="22"/>
        </w:rPr>
        <w:t>Cơ chế thứ hai — sự điều tiết bởi văn hóa — cho rằng văn hóa học thuật Nho giáo ở Đông Á, đặc biệt ở Việt Nam, áp đặt kỳ vọng giới khắt khe hơn lên nữ so với các bối cảnh phương Tây. Stankov (2010) ghi nhận rằng học sinh thừa hưởng di sản Nho giáo trải qua thành tích học tập cao kèm theo lo âu thi cử và tự nghi ngờ tăng cao; mô hình này đặc biệt rõ rệt ở nữ — những người chịu áp lực kép phải xuất sắc về học tập và phải tuân theo các vai trò nữ truyền thống. Small &amp; Blanc (2021) tiếp tục ghi nhận cách thế giới quan tích hợp của tam giáo (ba giáo lý: Phật, Nho, Đạo) định hình các chuẩn mực chừng mực cảm xúc và bộc lộ bản thân đặc thù Việt Nam, với các hàm ý theo giới về cách lo âu được trải nghiệm và biểu đạt.</w:t>
      </w:r>
    </w:p>
    <w:p>
      <w:pPr>
        <w:spacing w:after="80"/>
        <w:ind w:firstLine="283"/>
        <w:jc w:val="both"/>
      </w:pPr>
      <w:r>
        <w:rPr>
          <w:rFonts w:ascii="Times New Roman" w:hAnsi="Times New Roman"/>
          <w:sz w:val="22"/>
        </w:rPr>
        <w:t>The third mechanism — methodological artifacts — points to differences in instrument context, sampling, and analytic pooling that may distinguish school-based adolescent surveys from market-panel young adult surveys. Adolescents completing questionnaires in classroom contexts may report differently than young adults responding to online market panels. Sample selection biases (who joins a market panel, who is present at school) may also differ. Finally, pooling young adults across a 13-year age range (16-29) may dilute gender effects that would be detectable within narrower age bands.</w:t>
      </w:r>
    </w:p>
    <w:p>
      <w:pPr>
        <w:spacing w:after="160"/>
        <w:ind w:firstLine="283" w:left="170"/>
        <w:jc w:val="both"/>
      </w:pPr>
      <w:r>
        <w:rPr>
          <w:rFonts w:ascii="Times New Roman" w:hAnsi="Times New Roman"/>
          <w:i/>
          <w:color w:val="333333"/>
          <w:sz w:val="22"/>
        </w:rPr>
        <w:t>Cơ chế thứ ba — sai số do phương pháp — chỉ các khác biệt về bối cảnh công cụ, chọn mẫu, và gộp phân tích có thể phân biệt khảo sát vị thành niên tại trường với khảo sát thanh niên qua hội đoàn trực tuyến. Vị thành niên trả lời câu hỏi trong bối cảnh lớp học có thể báo cáo khác với thanh niên trả lời hội đoàn trực tuyến. Sai lệch chọn mẫu (ai tham gia hội đoàn, ai có mặt tại trường) cũng có thể khác nhau. Cuối cùng, gộp thanh niên qua khoảng tuổi 13 năm (16-29) có thể làm loãng các hiệu ứng giới có thể phát hiện trong các dải tuổi hẹp hơn.</w:t>
      </w:r>
    </w:p>
    <w:p>
      <w:pPr>
        <w:spacing w:before="200" w:after="80"/>
      </w:pPr>
      <w:r>
        <w:rPr>
          <w:rFonts w:ascii="Times New Roman" w:hAnsi="Times New Roman"/>
          <w:b/>
          <w:color w:val="2E74B5"/>
          <w:sz w:val="24"/>
        </w:rPr>
        <w:t>1.3. Why multi-group SEM is the right tool / Vì sao chọn SEM đa nhóm</w:t>
      </w:r>
    </w:p>
    <w:p>
      <w:pPr>
        <w:spacing w:after="80"/>
        <w:ind w:firstLine="283"/>
        <w:jc w:val="both"/>
      </w:pPr>
      <w:r>
        <w:rPr>
          <w:rFonts w:ascii="Times New Roman" w:hAnsi="Times New Roman"/>
          <w:sz w:val="22"/>
        </w:rPr>
        <w:t>Conventional gender comparison methods — independent t-tests or ANOVA on total anxiety scores — can detect mean differences between boys and girls, but they cannot test whether the entire risk-protective MECHANISM differs across gender. Multi-group structural equation modeling (SEM) goes further by simultaneously testing two related but distinct questions. First, measurement invariance: do the eight psychological scales actually measure the same underlying construct in both boys and girls? This is a precondition for any valid cross-gender comparison; if girls and boys respond to the same items in fundamentally different ways, we cannot meaningfully compare their pathway coefficients. Second, structural invariance: do the pathway coefficients (β) connecting each risk and protective factor to each anxiety outcome differ in magnitude or direction across gender?</w:t>
      </w:r>
    </w:p>
    <w:p>
      <w:pPr>
        <w:spacing w:after="160"/>
        <w:ind w:firstLine="283" w:left="170"/>
        <w:jc w:val="both"/>
      </w:pPr>
      <w:r>
        <w:rPr>
          <w:rFonts w:ascii="Times New Roman" w:hAnsi="Times New Roman"/>
          <w:i/>
          <w:color w:val="333333"/>
          <w:sz w:val="22"/>
        </w:rPr>
        <w:t>Các phương pháp so sánh giới thông thường — kiểm định t độc lập hay ANOVA trên điểm lo âu tổng — có thể phát hiện được khác biệt trung bình giữa nam và nữ, nhưng không kiểm chứng được liệu toàn bộ CƠ CHẾ nguy cơ-bảo vệ có khác biệt theo giới hay không. Mô hình phương trình cấu trúc đa nhóm (SEM) đi xa hơn bằng cách đồng thời kiểm chứng hai câu hỏi liên quan nhưng riêng biệt. Thứ nhất, bất biến thang đo: liệu tám thang tâm lý có thực sự đo cùng một cấu trúc tiềm ẩn ở cả nam và nữ không? Đây là điều kiện tiên quyết cho mọi so sánh chéo giới có giá trị; nếu nữ và nam trả lời cùng các mục theo những cách khác biệt cơ bản, chúng tôi không thể so sánh có ý nghĩa các hệ số đường dẫn của họ. Thứ hai, bất biến cấu trúc: liệu các hệ số đường dẫn (β) nối mỗi yếu tố nguy cơ và bảo vệ với mỗi kết quả lo âu có khác biệt về độ lớn hay dấu giữa nam và nữ?</w:t>
      </w:r>
    </w:p>
    <w:p>
      <w:pPr>
        <w:spacing w:after="80"/>
        <w:ind w:firstLine="283"/>
        <w:jc w:val="both"/>
      </w:pPr>
      <w:r>
        <w:rPr>
          <w:rFonts w:ascii="Times New Roman" w:hAnsi="Times New Roman"/>
          <w:sz w:val="22"/>
        </w:rPr>
        <w:t>Hai kiểm định này chỉ rõ ở đường dẫn nào giới có vai trò, ở đường dẫn nào không có. Đây là thông tin có giá trị thực tế hơn hẳn so với chỉ báo cáo "nữ có điểm trung bình cao hơn". Chẳng hạn, nếu measurement is invariant but the bullying → SAD pathway is stronger in girls, this implies that the SAME experience of being bullied translates into more severe social anxiety symptoms for girls — a finding with direct practical implications for intervention design. By contrast, if bullying → SAD is equivalent across gender but girls simply experience more bullying, the implication is different — reducing bullying exposure would close the gap. Multi-group SEM can distinguish these alternatives; t-tests cannot.</w:t>
      </w:r>
    </w:p>
    <w:p>
      <w:pPr>
        <w:spacing w:after="160"/>
        <w:ind w:firstLine="283" w:left="170"/>
        <w:jc w:val="both"/>
      </w:pPr>
      <w:r>
        <w:rPr>
          <w:rFonts w:ascii="Times New Roman" w:hAnsi="Times New Roman"/>
          <w:i/>
          <w:color w:val="333333"/>
          <w:sz w:val="22"/>
        </w:rPr>
        <w:t>Hai kiểm định này cùng nhau cung cấp bản đồ chi tiết về nơi giới có vai trò và nơi không. Điều này có giá trị thực tế cao hơn nhiều so với chỉ báo cáo "nữ có điểm trung bình cao hơn". Ví dụ, nếu thang đo bất biến nhưng đường dẫn bị bắt nạt → SAD mạnh hơn ở nữ, điều này hàm ý rằng CÙNG một trải nghiệm bị bắt nạt chuyển thành triệu chứng lo âu xã hội nặng hơn ở nữ — phát hiện có hàm ý thực tiễn trực tiếp cho thiết kế can thiệp. Ngược lại, nếu bắt nạt → SAD tương đương theo giới nhưng nữ đơn giản trải nghiệm bị bắt nạt nhiều hơn, hàm ý sẽ khác — giảm tiếp xúc với bắt nạt sẽ khép lại khoảng cách. SEM đa nhóm có thể phân biệt được các phương án này; kiểm định t thì không.</w:t>
      </w:r>
    </w:p>
    <w:p>
      <w:pPr>
        <w:spacing w:before="200" w:after="80"/>
      </w:pPr>
      <w:r>
        <w:rPr>
          <w:rFonts w:ascii="Times New Roman" w:hAnsi="Times New Roman"/>
          <w:b/>
          <w:color w:val="2E74B5"/>
          <w:sz w:val="24"/>
        </w:rPr>
        <w:t>1.4. Present study and hypotheses / Nghiên cứu hiện tại và các giả thuyết</w:t>
      </w:r>
    </w:p>
    <w:p>
      <w:pPr>
        <w:spacing w:after="80"/>
        <w:ind w:firstLine="283"/>
        <w:jc w:val="both"/>
      </w:pPr>
      <w:r>
        <w:rPr>
          <w:rFonts w:ascii="Times New Roman" w:hAnsi="Times New Roman"/>
          <w:sz w:val="22"/>
        </w:rPr>
        <w:t>Building on our preceding Q2 paper, which established the integrated risk-protective higher-order SEM model in the pooled sample (R² = 0.598 explaining total anxiety variance), the present study tests whether this model is invariant across gender. We pre-register three hypotheses on Open Science Framework (OSF) prior to running analyses, following the framework advocated by Nosek et al. (2018) to distinguish confirmatory tests from exploratory analyses.</w:t>
      </w:r>
    </w:p>
    <w:p>
      <w:pPr>
        <w:spacing w:after="160"/>
        <w:ind w:firstLine="283" w:left="170"/>
        <w:jc w:val="both"/>
      </w:pPr>
      <w:r>
        <w:rPr>
          <w:rFonts w:ascii="Times New Roman" w:hAnsi="Times New Roman"/>
          <w:i/>
          <w:color w:val="333333"/>
          <w:sz w:val="22"/>
        </w:rPr>
        <w:t>Dựa trên bài Q2 trước đó của chúng tôi — đã thiết lập mô hình SEM bậc cao tích hợp nguy cơ-bảo vệ trong mẫu gộp (R² = 0,598 giải thích phương sai lo âu tổng) — nghiên cứu hiện tại kiểm chứng xem mô hình này có bất biến theo giới hay không. Chúng tôi đăng ký trước ba giả thuyết trên nền tảng Open Science Framework (OSF) trước khi chạy phân tích, theo khung do Nosek và cs. (2018) đề xuất để phân biệt kiểm chứng khẳng định với phân tích thám sát.</w:t>
      </w:r>
    </w:p>
    <w:p>
      <w:pPr>
        <w:spacing w:after="80"/>
        <w:ind w:firstLine="283"/>
        <w:jc w:val="both"/>
      </w:pPr>
      <w:r>
        <w:rPr>
          <w:rFonts w:ascii="Times New Roman" w:hAnsi="Times New Roman"/>
          <w:sz w:val="22"/>
        </w:rPr>
        <w:t>Hypothesis 1 (measurement invariance): The 8-scale measurement model will show full invariance at all three levels (configural, metric, scalar) across boys and girls. Justification: the scales we use are widely validated in mixed-gender adolescent samples and we have no theoretical reason to expect gender-differential item functioning. Hypothesis 2 (selective structural non-invariance): At least one structural pathway will be non-invariant; specifically, the bullying → SAD pathway will be stronger in girls than boys, based on evidence that adolescent girls show greater social-evaluative sensitivity (Rose 2002; Hankin et al. 2007) and that bullying experiences are more often relational/social in nature for girls. Hypothesis 3 (higher-order model gender differences): The integrated higher-order model — with YTNC (risk) and YTBV (protective) as second-order factors predicting RLLA (total anxiety) — will show different magnitudes of explained variance by gender.</w:t>
      </w:r>
    </w:p>
    <w:p>
      <w:pPr>
        <w:spacing w:after="160"/>
        <w:ind w:firstLine="283" w:left="170"/>
        <w:jc w:val="both"/>
      </w:pPr>
      <w:r>
        <w:rPr>
          <w:rFonts w:ascii="Times New Roman" w:hAnsi="Times New Roman"/>
          <w:i/>
          <w:color w:val="333333"/>
          <w:sz w:val="22"/>
        </w:rPr>
        <w:t>Giả thuyết 1 (bất biến thang đo): Mô hình đo lường 8 thang sẽ đạt bất biến hoàn toàn ở cả ba cấp (cấu hình, hệ số tải, ngưỡng) giữa nam và nữ. Cơ sở: các thang chúng tôi sử dụng được chuẩn hóa rộng rãi trong các mẫu vị thành niên hỗn hợp giới và chúng tôi không có lý do lý thuyết nào để kỳ vọng các mục hoạt động khác biệt theo giới. Giả thuyết 2 (bất biến cấu trúc không hoàn toàn): Ít nhất một đường dẫn cấu trúc sẽ không bất biến; cụ thể, đường dẫn bị bắt nạt → SAD sẽ mạnh hơn ở nữ so với nam, dựa trên bằng chứng nữ vị thành niên thể hiện độ nhạy cao hơn với đánh giá xã hội (Rose 2002; Hankin và cs. 2007) và bắt nạt ở nữ thường mang tính quan hệ/xã hội hơn về bản chất. Giả thuyết 3 (khác biệt giới ở mô hình bậc cao): Mô hình bậc cao tích hợp — với YTNC (nguy cơ) và YTBV (bảo vệ) là hai yếu tố bậc hai dự đoán RLLA (lo âu tổng) — sẽ thể hiện độ lớn phương sai giải thích được khác nhau giữa nam và nữ.</w:t>
      </w:r>
    </w:p>
    <w:p>
      <w:pPr>
        <w:spacing w:before="320" w:after="160"/>
      </w:pPr>
      <w:r>
        <w:rPr>
          <w:rFonts w:ascii="Times New Roman" w:hAnsi="Times New Roman"/>
          <w:b/>
          <w:color w:val="C00000"/>
          <w:sz w:val="28"/>
        </w:rPr>
        <w:t>2. METHODS — PHƯƠNG PHÁP</w:t>
      </w:r>
    </w:p>
    <w:p>
      <w:pPr>
        <w:spacing w:before="200" w:after="80"/>
      </w:pPr>
      <w:r>
        <w:rPr>
          <w:rFonts w:ascii="Times New Roman" w:hAnsi="Times New Roman"/>
          <w:b/>
          <w:color w:val="2E74B5"/>
          <w:sz w:val="24"/>
        </w:rPr>
        <w:t>2.1. Participants / Người tham gia</w:t>
      </w:r>
    </w:p>
    <w:p>
      <w:pPr>
        <w:spacing w:after="80"/>
        <w:ind w:firstLine="283"/>
        <w:jc w:val="both"/>
      </w:pPr>
      <w:r>
        <w:rPr>
          <w:rFonts w:ascii="Times New Roman" w:hAnsi="Times New Roman"/>
          <w:sz w:val="22"/>
        </w:rPr>
        <w:t>Participants were 1,352 Vietnamese lower secondary students (boys n = 614, 45.4%; girls n = 738, 54.6%) recruited from two purposively selected schools in Hanoi during the 2024-2025 academic year: Nhat Tan school (urban context) and Tay Mo school (suburban context). The age range was 11-14 years, covering grades 6 through 9, with the following grade-level distribution: grade 6 n = 368 (27.2%); grade 7 n = 316 (23.4%); grade 8 n = 340 (25.1%); grade 9 n = 328 (24.3%). Schools were selected to capture variation in urban-suburban context within Hanoi while controlling for region.</w:t>
      </w:r>
    </w:p>
    <w:p>
      <w:pPr>
        <w:spacing w:after="160"/>
        <w:ind w:firstLine="283" w:left="170"/>
        <w:jc w:val="both"/>
      </w:pPr>
      <w:r>
        <w:rPr>
          <w:rFonts w:ascii="Times New Roman" w:hAnsi="Times New Roman"/>
          <w:i/>
          <w:color w:val="333333"/>
          <w:sz w:val="22"/>
        </w:rPr>
        <w:t>Người tham gia gồm 1.352 học sinh trung học cơ sở Việt Nam (nam n = 614, 45,4%; nữ n = 738, 54,6%) tuyển từ hai trường được chọn có chủ đích tại Hà Nội trong năm học 2024-2025: trường Nhật Tân (bối cảnh đô thị) và trường Tây Mỗ (bối cảnh ngoại ô). Khoảng tuổi là 11-14, bao trùm các lớp 6 đến 9, với phân bố theo khối như sau: lớp 6 n = 368 (27,2%); lớp 7 n = 316 (23,4%); lớp 8 n = 340 (25,1%); lớp 9 n = 328 (24,3%). Các trường được chọn để bao quát sự biến thiên về bối cảnh đô thị-ngoại ô trong Hà Nội, đồng thời kiểm soát yếu tố vùng.</w:t>
      </w:r>
    </w:p>
    <w:p>
      <w:pPr>
        <w:spacing w:after="80"/>
        <w:ind w:firstLine="283"/>
        <w:jc w:val="both"/>
      </w:pPr>
      <w:r>
        <w:rPr>
          <w:rFonts w:ascii="Times New Roman" w:hAnsi="Times New Roman"/>
          <w:sz w:val="22"/>
        </w:rPr>
        <w:t>Inclusion criteria: students enrolled at one of the two study schools, present on the survey day, and with completed written parental consent. Exclusion criteria: students who declined to give assent, or who completed fewer than 80% of survey items. Of an initial pool of 1,524 eligible students, 172 (11.3%) were excluded for missing data or assent refusal, yielding the final analytic sample of 1,352. The sample is predominantly ethnic Kinh (&gt;95%), reflecting the demographic composition of Hanoi.</w:t>
      </w:r>
    </w:p>
    <w:p>
      <w:pPr>
        <w:spacing w:after="160"/>
        <w:ind w:firstLine="283" w:left="170"/>
        <w:jc w:val="both"/>
      </w:pPr>
      <w:r>
        <w:rPr>
          <w:rFonts w:ascii="Times New Roman" w:hAnsi="Times New Roman"/>
          <w:i/>
          <w:color w:val="333333"/>
          <w:sz w:val="22"/>
        </w:rPr>
        <w:t>Tiêu chí thu nhận: học sinh đang đi học tại một trong hai trường nghiên cứu, có mặt vào ngày khảo sát, và có sự đồng ý bằng văn bản của cha mẹ. Tiêu chí loại trừ: học sinh từ chối đồng thuận, hoặc hoàn thành dưới 80% số mục khảo sát. Từ một mẫu ban đầu gồm 1.524 học sinh đủ điều kiện, 172 (11,3%) bị loại do thiếu dữ liệu hoặc từ chối đồng thuận, tạo nên mẫu phân tích cuối cùng gồm 1.352 học sinh. Mẫu chủ yếu là dân tộc Kinh (&gt;95%), phản ánh thành phần dân số của Hà Nội.</w:t>
      </w:r>
    </w:p>
    <w:p>
      <w:pPr>
        <w:spacing w:before="200" w:after="80"/>
      </w:pPr>
      <w:r>
        <w:rPr>
          <w:rFonts w:ascii="Times New Roman" w:hAnsi="Times New Roman"/>
          <w:b/>
          <w:color w:val="2E74B5"/>
          <w:sz w:val="24"/>
        </w:rPr>
        <w:t>2.2. Measures / Công cụ đo lường</w:t>
      </w:r>
    </w:p>
    <w:p>
      <w:pPr>
        <w:spacing w:after="80"/>
        <w:ind w:firstLine="283"/>
        <w:jc w:val="both"/>
      </w:pPr>
      <w:r>
        <w:rPr>
          <w:rFonts w:ascii="Times New Roman" w:hAnsi="Times New Roman"/>
          <w:sz w:val="22"/>
        </w:rPr>
        <w:t>Eight validated scales were used. All scales had been previously translated into Vietnamese via forward-backward translation procedure, with expert panel review (three clinical psychologists and one educational measurement specialist) and pilot testing on a separate sample of 50 students. Anxiety subtypes were measured using the Revised Children's Anxiety and Depression Scale — RCADS (Chorpita 2000): Generalized Anxiety Disorder (7 items, e.g., "I worry that something bad will happen to my parents"); Social Anxiety Disorder (4 items, e.g., "I worry what other people think of me"); Separation Anxiety Disorder (4 items, e.g., "I would feel scared if I had to sleep on my own"). All items used 4-point Likert scales (0 = never to 3 = always).</w:t>
      </w:r>
    </w:p>
    <w:p>
      <w:pPr>
        <w:spacing w:after="160"/>
        <w:ind w:firstLine="283" w:left="170"/>
        <w:jc w:val="both"/>
      </w:pPr>
      <w:r>
        <w:rPr>
          <w:rFonts w:ascii="Times New Roman" w:hAnsi="Times New Roman"/>
          <w:i/>
          <w:color w:val="333333"/>
          <w:sz w:val="22"/>
        </w:rPr>
        <w:t>Tám thang đo đã chuẩn hóa được sử dụng. Tất cả các thang đã được dịch sang tiếng Việt trước đó qua quy trình dịch xuôi-ngược, với hội đồng chuyên gia thẩm định (ba nhà tâm lý lâm sàng và một chuyên gia đo lường giáo dục) và thử nghiệm trên một mẫu riêng gồm 50 học sinh. Các phân loại lo âu được đo bằng Thang Lo âu và Trầm cảm Trẻ em phiên bản sửa đổi — RCADS (Chorpita 2000): Lo âu Lan tỏa (7 mục, ví dụ "Em lo điều xấu sẽ xảy ra với cha mẹ"); Lo âu Xã hội (4 mục, ví dụ "Em lo người khác nghĩ gì về em"); Lo âu Chia ly (4 mục, ví dụ "Em sẽ sợ nếu phải ngủ một mình"). Tất cả mục sử dụng thang Likert 4 điểm (0 = không bao giờ đến 3 = luôn luôn).</w:t>
      </w:r>
    </w:p>
    <w:p>
      <w:pPr>
        <w:spacing w:after="80"/>
        <w:ind w:firstLine="283"/>
        <w:jc w:val="both"/>
      </w:pPr>
      <w:r>
        <w:rPr>
          <w:rFonts w:ascii="Times New Roman" w:hAnsi="Times New Roman"/>
          <w:sz w:val="22"/>
        </w:rPr>
        <w:t>Risk factors were assessed using: (i) Olweus Bully/Victim Questionnaire — OBVQ (Olweus 1996), 8 items capturing physical and verbal bullying victimization; (ii) Educational Stress Scale for Adolescents — ESSA (Sun et al. 2011), 4 items on academic pressure; (iii) Smartphone Addiction Scale-Short Version — SAS-SV (Kwon et al. 2013), 5 items on dysfunctional smartphone use. Protective factors comprised: (i) Psychological Sense of School Membership — PSSM (Goodenow 1993), 7 items; (ii) Multidimensional Scale of Perceived Social Support — MSPSS (Zimet et al. 1988), 8 items split into parental and peer subscales (4 items each); (iii) Rosenberg Self-Esteem Scale — RSES (Rosenberg 1965), 5 items. All raw scores were rescaled to a 0-100 metric for cross-scale comparability while preserving original scoring conventions. Internal consistency (Cronbach's α) ranged from 0.70 to 0.91 across scales. Prior multi-group confirmatory factor analyses of the 30-item RCADS across Spain, Chile, and Sweden have established scalar invariance, supporting its use in cross-gender and cross-cultural comparisons (Cervin et al. 2022).</w:t>
      </w:r>
    </w:p>
    <w:p>
      <w:pPr>
        <w:spacing w:after="160"/>
        <w:ind w:firstLine="283" w:left="170"/>
        <w:jc w:val="both"/>
      </w:pPr>
      <w:r>
        <w:rPr>
          <w:rFonts w:ascii="Times New Roman" w:hAnsi="Times New Roman"/>
          <w:i/>
          <w:color w:val="333333"/>
          <w:sz w:val="22"/>
        </w:rPr>
        <w:t>Các yếu tố nguy cơ được đánh giá qua: (i) Bảng câu hỏi Bắt nạt/Nạn nhân Olweus — OBVQ (Olweus 1996), 8 mục bắt được việc bị bắt nạt thể chất và bằng lời; (ii) Thang Áp lực Học tập cho Vị thành niên — ESSA (Sun và cs. 2011), 4 mục về áp lực học tập; (iii) Thang Nghiện Điện thoại bản rút gọn — SAS-SV (Kwon và cs. 2013), 5 mục về sử dụng điện thoại không có chức năng. Các yếu tố bảo vệ gồm: (i) Cảm nhận Tâm lý về Sự gắn bó với Trường — PSSM (Goodenow 1993), 7 mục; (ii) Thang Đa chiều về Hỗ trợ Xã hội Cảm nhận được — MSPSS (Zimet và cs. 1988), 8 mục chia thành phân thang cha mẹ và phân thang bạn bè (mỗi phân thang 4 mục); (iii) Thang Lòng Tự trọng Rosenberg — RSES (Rosenberg 1965), 5 mục. Tất cả điểm thô được chuyển sang thang 0-100 để so sánh giữa các thang, đồng thời giữ nguyên quy ước tính điểm gốc. Hệ số tin cậy nội tại (Cronbach α) dao động từ 0,70 đến 0,91 giữa các thang. Các phân tích nhân tố khẳng định đa nhóm trước đây của RCADS 30 mục qua Tây Ban Nha, Chile, và Thụy Điển đã thiết lập được bất biến ngưỡng, hỗ trợ việc dùng thang này trong so sánh chéo giới và chéo văn hóa (Cervin và cs. 2022).</w:t>
      </w:r>
    </w:p>
    <w:p>
      <w:pPr>
        <w:spacing w:before="200" w:after="80"/>
      </w:pPr>
      <w:r>
        <w:rPr>
          <w:rFonts w:ascii="Times New Roman" w:hAnsi="Times New Roman"/>
          <w:b/>
          <w:color w:val="2E74B5"/>
          <w:sz w:val="24"/>
        </w:rPr>
        <w:t>2.3. Analytic strategy / Quy trình phân tích</w:t>
      </w:r>
    </w:p>
    <w:p>
      <w:pPr>
        <w:spacing w:after="80"/>
        <w:ind w:firstLine="283"/>
        <w:jc w:val="both"/>
      </w:pPr>
      <w:r>
        <w:rPr>
          <w:rFonts w:ascii="Times New Roman" w:hAnsi="Times New Roman"/>
          <w:sz w:val="22"/>
        </w:rPr>
        <w:t>Reporting follows APA Journal Article Reporting Standards for Quantitative research (JARS-Quant; Appelbaum et al. 2018). The analytic strategy proceeds in five sequential steps. Software for primary analyses: Mplus 8.10 or higher (for multi-group SEM); R 4.3+ with the "lavaan" package 0.6-15+ for sensitivity analyses and reproducibility checks. All analyses use full-information maximum likelihood (FIML) estimation to accommodate missing data; mean-and-variance adjusted weighted least squares (WLSMV) is used as a robustness check given the ordinal nature of Likert items.</w:t>
      </w:r>
    </w:p>
    <w:p>
      <w:pPr>
        <w:spacing w:after="160"/>
        <w:ind w:firstLine="283" w:left="170"/>
        <w:jc w:val="both"/>
      </w:pPr>
      <w:r>
        <w:rPr>
          <w:rFonts w:ascii="Times New Roman" w:hAnsi="Times New Roman"/>
          <w:i/>
          <w:color w:val="333333"/>
          <w:sz w:val="22"/>
        </w:rPr>
        <w:t>Báo cáo tuân thủ Chuẩn Báo cáo Bài báo Khoa học cho Nghiên cứu Định lượng của APA (JARS-Quant; Appelbaum và cs. 2018). Quy trình phân tích tiến hành qua năm bước tuần tự. Phần mềm cho các phân tích chính: Mplus 8.10 trở lên (cho SEM đa nhóm); R 4.3 trở lên với gói "lavaan" 0.6-15 trở lên cho các phân tích độ nhạy và kiểm tra khả năng tái tạo. Tất cả phân tích sử dụng phương pháp ước lượng hợp lý cực đại thông tin đầy đủ (FIML — Full-Information Maximum Likelihood) để xử lý dữ liệu khuyết; phương pháp bình phương tối thiểu có trọng số điều chỉnh trung bình-phương sai (WLSMV) được dùng như kiểm tra vững chắc do tính thứ tự của các mục Likert.</w:t>
      </w:r>
    </w:p>
    <w:p>
      <w:pPr>
        <w:spacing w:after="80"/>
        <w:ind w:firstLine="283"/>
        <w:jc w:val="both"/>
      </w:pPr>
      <w:r>
        <w:rPr>
          <w:rFonts w:ascii="Times New Roman" w:hAnsi="Times New Roman"/>
          <w:sz w:val="22"/>
        </w:rPr>
        <w:t>Step 1 — Descriptive statistics and bivariate gender comparisons. For each of the 8 scales, we compute mean, standard deviation (SD), Cronbach's alpha (α) reliability, and skewness/kurtosis stratified by gender. Independent t-tests (with Welch correction for unequal variances) compare boys vs girls on each scale. Chi-square tests compare proportions above SAD clinical threshold (RCADS T-score ≥ 65). Cohen's d effect size with 95% CI is reported for each comparison.</w:t>
      </w:r>
    </w:p>
    <w:p>
      <w:pPr>
        <w:spacing w:after="160"/>
        <w:ind w:firstLine="283" w:left="170"/>
        <w:jc w:val="both"/>
      </w:pPr>
      <w:r>
        <w:rPr>
          <w:rFonts w:ascii="Times New Roman" w:hAnsi="Times New Roman"/>
          <w:i/>
          <w:color w:val="333333"/>
          <w:sz w:val="22"/>
        </w:rPr>
        <w:t>Bước 1 — Thống kê mô tả và so sánh giới đơn biến. Với mỗi trong 8 thang, chúng tôi tính giá trị trung bình, độ lệch chuẩn (SD), hệ số tin cậy Cronbach alpha (α), và độ lệch/độ nhọn phân tầng theo giới. Kiểm định t độc lập (có hiệu chỉnh Welch khi phương sai không đồng nhất) so sánh nam với nữ trên mỗi thang. Kiểm định chi-square so sánh tỷ lệ vượt ngưỡng lâm sàng SAD (điểm T của RCADS ≥ 65). Hệ số ảnh hưởng Cohen's d kèm khoảng tin cậy 95% được báo cáo cho mỗi so sánh.</w:t>
      </w:r>
    </w:p>
    <w:p>
      <w:pPr>
        <w:spacing w:after="80"/>
        <w:ind w:firstLine="283"/>
        <w:jc w:val="both"/>
      </w:pPr>
      <w:r>
        <w:rPr>
          <w:rFonts w:ascii="Times New Roman" w:hAnsi="Times New Roman"/>
          <w:sz w:val="22"/>
        </w:rPr>
        <w:t>Step 2 — Measurement invariance via multi-group confirmatory factor analysis (CFA). We test invariance in three sequential levels. Level 1 (configural invariance): we test whether the same factor structure — same items loading on the same latent factors — holds in both groups. Level 2 (metric invariance): on top of configural, we additionally constrain factor loadings to be equal across groups. Level 3 (scalar invariance): on top of metric, we additionally constrain item intercepts to be equal. The decision criterion at each step: ΔCFI ≤ 0.01 (Cheung &amp; Rensvold 2002), combined with ΔRMSEA ≤ 0.015 (Chen 2007). If a level fails, we attempt partial invariance by releasing up to 20% of indicators per scale, with detailed reporting of which items required release. A recent systematic review of measurement invariance in 11 child/adolescent depression scales found preliminary support for gender invariance, though item-level partial invariance (e.g., the "crying" item loaded higher in girls) was observed in several scales (Schlechter et al. 2024).</w:t>
      </w:r>
    </w:p>
    <w:p>
      <w:pPr>
        <w:spacing w:after="160"/>
        <w:ind w:firstLine="283" w:left="170"/>
        <w:jc w:val="both"/>
      </w:pPr>
      <w:r>
        <w:rPr>
          <w:rFonts w:ascii="Times New Roman" w:hAnsi="Times New Roman"/>
          <w:i/>
          <w:color w:val="333333"/>
          <w:sz w:val="22"/>
        </w:rPr>
        <w:t>Bước 2 — Bất biến thang đo qua phân tích nhân tố khẳng định đa nhóm (CFA). Chúng tôi kiểm chứng bất biến qua ba cấp tuần tự. Cấp 1 (bất biến cấu hình): chúng tôi kiểm chứng xem cùng cấu trúc nhân tố — cùng mục tải lên cùng nhân tố tiềm ẩn — có giữ nguyên ở cả hai nhóm không. Cấp 2 (bất biến hệ số tải): trên nền cấu hình, chúng tôi bổ sung ràng buộc hệ số tải nhân tố bằng nhau giữa các nhóm. Cấp 3 (bất biến ngưỡng): trên nền hệ số tải, chúng tôi bổ sung ràng buộc ngưỡng chặn của mục bằng nhau. Tiêu chí ra quyết định ở mỗi bước: ΔCFI ≤ 0,01 (Cheung &amp; Rensvold 2002), kết hợp với ΔRMSEA ≤ 0,015 (Chen 2007). Nếu một cấp thất bại, chúng tôi thử bất biến từng phần bằng cách nới tối đa 20% chỉ báo trong mỗi thang, có báo cáo chi tiết các mục cần nới. Một bài tổng quan có hệ thống gần đây về bất biến đo lường ở 11 thang đo trầm cảm trẻ em/vị thành niên tìm thấy hỗ trợ sơ bộ cho bất biến giới, mặc dù bất biến từng phần ở cấp mục (ví dụ mục "khóc" có hệ số tải cao hơn ở nữ) được quan sát thấy ở nhiều thang (Schlechter và cs. 2024).</w:t>
      </w:r>
    </w:p>
    <w:p>
      <w:pPr>
        <w:spacing w:after="80"/>
        <w:ind w:firstLine="283"/>
        <w:jc w:val="both"/>
      </w:pPr>
      <w:r>
        <w:rPr>
          <w:rFonts w:ascii="Times New Roman" w:hAnsi="Times New Roman"/>
          <w:sz w:val="22"/>
        </w:rPr>
        <w:t>Step 3 — Structural invariance. We compare two nested models: (a) an unconstrained model in which all 21 hypothesized structural pathways are free to differ across groups; (b) a constrained model in which all 21 pathways are forced to be equal across groups. The chi-square difference test combined with ΔCFI determines if the unconstrained model fits significantly better. If yes, we systematically free one pathway at a time, prioritizing pathways with highest modification indices (MI &gt; 10), to identify the SPECIFIC non-invariant pathways. For each non-invariant pathway, we report β_boys, β_girls, both 95% CIs, and a z-test of the cross-gender coefficient difference.</w:t>
      </w:r>
    </w:p>
    <w:p>
      <w:pPr>
        <w:spacing w:after="160"/>
        <w:ind w:firstLine="283" w:left="170"/>
        <w:jc w:val="both"/>
      </w:pPr>
      <w:r>
        <w:rPr>
          <w:rFonts w:ascii="Times New Roman" w:hAnsi="Times New Roman"/>
          <w:i/>
          <w:color w:val="333333"/>
          <w:sz w:val="22"/>
        </w:rPr>
        <w:t>Bước 3 — Bất biến cấu trúc. Chúng tôi so sánh hai mô hình lồng nhau: (a) mô hình không ràng buộc trong đó cả 21 đường dẫn cấu trúc đã giả thuyết tự do khác nhau giữa các nhóm; (b) mô hình ràng buộc trong đó cả 21 đường dẫn bị buộc bằng nhau giữa các nhóm. Kiểm định chênh lệch chi-square kết hợp với ΔCFI xác định mô hình không ràng buộc có vừa hơn đáng kể không. Nếu có, chúng tôi lần lượt nới từng đường dẫn một, ưu tiên các đường có chỉ số điều chỉnh cao nhất (MI &gt; 10), để xác định ĐÚNG các đường dẫn không bất biến. Với mỗi đường dẫn không bất biến, chúng tôi báo cáo β_nam, β_nữ, hai khoảng tin cậy 95%, và một kiểm định z về chênh lệch hệ số giữa hai giới.</w:t>
      </w:r>
    </w:p>
    <w:p>
      <w:pPr>
        <w:spacing w:after="80"/>
        <w:ind w:firstLine="283"/>
        <w:jc w:val="both"/>
      </w:pPr>
      <w:r>
        <w:rPr>
          <w:rFonts w:ascii="Times New Roman" w:hAnsi="Times New Roman"/>
          <w:sz w:val="22"/>
        </w:rPr>
        <w:t>Step 4 — Higher-order integrated model invariance. We test invariance of the YTNC (risk) and YTBV (protective) second-order pathways to total anxiety (RLLA). We report β and 95% CI for each gender, R² for each gender (vs the pooled R² = 0.598 from Q2 v1), and the z-test of the cross-gender difference in second-order pathway coefficients. This step directly extends our Q2 finding by asking whether the same integrated model holds equally for boys and girls.</w:t>
      </w:r>
    </w:p>
    <w:p>
      <w:pPr>
        <w:spacing w:after="160"/>
        <w:ind w:firstLine="283" w:left="170"/>
        <w:jc w:val="both"/>
      </w:pPr>
      <w:r>
        <w:rPr>
          <w:rFonts w:ascii="Times New Roman" w:hAnsi="Times New Roman"/>
          <w:i/>
          <w:color w:val="333333"/>
          <w:sz w:val="22"/>
        </w:rPr>
        <w:t>Bước 4 — Bất biến của mô hình bậc cao tích hợp. Chúng tôi kiểm chứng bất biến của hai đường dẫn bậc hai YTNC (nguy cơ) và YTBV (bảo vệ) đến tổng lo âu (RLLA). Chúng tôi báo cáo β và khoảng tin cậy 95% cho mỗi giới, R² cho mỗi giới (so với R² mẫu gộp = 0,598 từ Q2 v1), và kiểm định z về chênh lệch hệ số đường dẫn bậc hai giữa hai giới. Bước này mở rộng trực tiếp phát hiện Q2 bằng cách đặt câu hỏi mô hình tích hợp này có giữ nguyên bằng nhau cho cả nam và nữ không.</w:t>
      </w:r>
    </w:p>
    <w:p>
      <w:pPr>
        <w:spacing w:after="80"/>
        <w:ind w:firstLine="283"/>
        <w:jc w:val="both"/>
      </w:pPr>
      <w:r>
        <w:rPr>
          <w:rFonts w:ascii="Times New Roman" w:hAnsi="Times New Roman"/>
          <w:sz w:val="22"/>
        </w:rPr>
        <w:t>Step 5 — Sensitivity analyses. We repeat the multi-group SEM after three sensitivity checks: (a) excluding sub-samples one at a time (urban-only / suburban-only) to test whether school context drives any observed effects; (b) stratifying by age (younger 11-12 vs older 13-14) to test the developmental peak hypothesis (the gender gap should be largest in the younger half); (c) applying a stricter invariance threshold (ΔCFI ≤ 0.005 per Chen 2007 for larger samples) to verify the robustness of conclusions.</w:t>
      </w:r>
    </w:p>
    <w:p>
      <w:pPr>
        <w:spacing w:after="160"/>
        <w:ind w:firstLine="283" w:left="170"/>
        <w:jc w:val="both"/>
      </w:pPr>
      <w:r>
        <w:rPr>
          <w:rFonts w:ascii="Times New Roman" w:hAnsi="Times New Roman"/>
          <w:i/>
          <w:color w:val="333333"/>
          <w:sz w:val="22"/>
        </w:rPr>
        <w:t>Bước 5 — Phân tích độ nhạy. Chúng tôi lặp lại SEM đa nhóm sau ba kiểm tra độ nhạy: (a) lần lượt loại trừ từng tiểu mẫu (chỉ đô thị / chỉ ngoại ô) để kiểm chứng xem bối cảnh trường có dẫn dắt bất kỳ hiệu ứng quan sát được nào không; (b) phân tầng theo tuổi (trẻ hơn 11-12 so với lớn hơn 13-14) để kiểm chứng giả thuyết đỉnh điểm phát triển (khoảng cách giới nên lớn nhất ở nửa trẻ hơn); (c) áp dụng ngưỡng bất biến nghiêm khắc hơn (ΔCFI ≤ 0,005 theo Chen 2007 cho các mẫu lớn) để xác minh tính vững chắc của kết luận.</w:t>
      </w:r>
    </w:p>
    <w:p>
      <w:pPr>
        <w:spacing w:before="200" w:after="80"/>
      </w:pPr>
      <w:r>
        <w:rPr>
          <w:rFonts w:ascii="Times New Roman" w:hAnsi="Times New Roman"/>
          <w:b/>
          <w:color w:val="2E74B5"/>
          <w:sz w:val="24"/>
        </w:rPr>
        <w:t>2.4. Ethics / Đạo đức nghiên cứu</w:t>
      </w:r>
    </w:p>
    <w:p>
      <w:pPr>
        <w:spacing w:after="80"/>
        <w:ind w:firstLine="283"/>
        <w:jc w:val="both"/>
      </w:pPr>
      <w:r>
        <w:rPr>
          <w:rFonts w:ascii="Times New Roman" w:hAnsi="Times New Roman"/>
          <w:sz w:val="22"/>
        </w:rPr>
        <w:t>The study protocol was approved by the Ethics Committee of Hanoi National University of Education (HNUE) prior to data collection [approval reference: TBD — pending official letter from HNUE Ethics Committee]. Written parental consent and student assent were obtained from all participants. Students were informed that participation was voluntary, responses were confidential and would not affect their grades, and they could withdraw at any time without consequence. The study followed Declaration of Helsinki principles. Pre-registration of the analytic plan on Open Science Framework (OSF) was completed prior to data analysis.</w:t>
      </w:r>
    </w:p>
    <w:p>
      <w:pPr>
        <w:spacing w:after="160"/>
        <w:ind w:firstLine="283" w:left="170"/>
        <w:jc w:val="both"/>
      </w:pPr>
      <w:r>
        <w:rPr>
          <w:rFonts w:ascii="Times New Roman" w:hAnsi="Times New Roman"/>
          <w:i/>
          <w:color w:val="333333"/>
          <w:sz w:val="22"/>
        </w:rPr>
        <w:t>Đề cương nghiên cứu đã được phê duyệt bởi Hội đồng Đạo đức Trường Đại học Sư phạm Hà Nội (HNUE) trước khi thu thập dữ liệu [số tham chiếu phê duyệt: CHỜ XÁC NHẬN — chờ thư chính thức từ Hội đồng Đạo đức HNUE]. Sự đồng ý bằng văn bản của cha mẹ và sự đồng thuận bằng văn bản của học sinh đã được thu thập từ tất cả người tham gia. Học sinh được thông báo rằng việc tham gia là tự nguyện, các câu trả lời được bảo mật và sẽ không ảnh hưởng đến điểm số, và họ có thể rút khỏi nghiên cứu bất cứ lúc nào mà không có hậu quả. Nghiên cứu tuân thủ các nguyên tắc của Tuyên bố Helsinki. Việc đăng ký trước kế hoạch phân tích trên nền tảng Open Science Framework (OSF) đã hoàn thành trước khi phân tích dữ liệu.</w:t>
      </w:r>
    </w:p>
    <w:p>
      <w:pPr>
        <w:spacing w:before="320" w:after="160"/>
      </w:pPr>
      <w:r>
        <w:rPr>
          <w:rFonts w:ascii="Times New Roman" w:hAnsi="Times New Roman"/>
          <w:b/>
          <w:color w:val="C00000"/>
          <w:sz w:val="28"/>
        </w:rPr>
        <w:t>3. RESULTS — KẾT QUẢ (DỰ KIẾN)</w:t>
      </w:r>
    </w:p>
    <w:p>
      <w:pPr>
        <w:spacing w:after="80"/>
        <w:ind w:firstLine="283"/>
        <w:jc w:val="both"/>
      </w:pPr>
      <w:r>
        <w:rPr>
          <w:rFonts w:ascii="Times New Roman" w:hAnsi="Times New Roman"/>
          <w:sz w:val="22"/>
        </w:rPr>
        <w:t>Note to readers: This is the prose draft of expected results. Actual numeric values await completion of multi-group SEM analyses. Italicized placeholders [TBD] mark values that will be filled in after analysis. Tables 1-3 and Figure 1 will be inserted at submission.</w:t>
      </w:r>
    </w:p>
    <w:p>
      <w:pPr>
        <w:spacing w:after="160"/>
        <w:ind w:firstLine="283" w:left="170"/>
        <w:jc w:val="both"/>
      </w:pPr>
      <w:r>
        <w:rPr>
          <w:rFonts w:ascii="Times New Roman" w:hAnsi="Times New Roman"/>
          <w:i/>
          <w:color w:val="333333"/>
          <w:sz w:val="22"/>
        </w:rPr>
        <w:t>Lưu ý cho người đọc: Đây là bản thảo văn xuôi của các kết quả dự kiến. Giá trị số thực tế chờ hoàn thành các phân tích SEM đa nhóm. Các chỗ trống được in nghiêng [CHỜ XÁC NHẬN] đánh dấu các giá trị sẽ được điền sau khi phân tích. Bảng 1-3 và Hình 1 sẽ được chèn vào lúc nộp bài.</w:t>
      </w:r>
    </w:p>
    <w:p>
      <w:pPr>
        <w:spacing w:before="200" w:after="80"/>
      </w:pPr>
      <w:r>
        <w:rPr>
          <w:rFonts w:ascii="Times New Roman" w:hAnsi="Times New Roman"/>
          <w:b/>
          <w:color w:val="2E74B5"/>
          <w:sz w:val="24"/>
        </w:rPr>
        <w:t>3.1. Descriptive statistics and bivariate gender comparisons / Thống kê mô tả và so sánh giới đơn biến</w:t>
      </w:r>
    </w:p>
    <w:p>
      <w:pPr>
        <w:spacing w:after="80"/>
        <w:ind w:firstLine="283"/>
        <w:jc w:val="both"/>
      </w:pPr>
      <w:r>
        <w:rPr>
          <w:rFonts w:ascii="Times New Roman" w:hAnsi="Times New Roman"/>
          <w:sz w:val="22"/>
        </w:rPr>
        <w:t>Table 1 presents means, SDs, Cronbach's alphas, and bivariate gender comparison statistics for each of 8 scales. Internal consistency was acceptable to excellent across scales (α range [TBD; expected 0.70-0.91]). Based on our preliminary descriptives from Q2 v1 pooled analysis, we expect girls to score significantly higher on SAD (Cohen's d ≈ [TBD]) and SocAD (d ≈ [TBD]), and boys to score significantly higher on self-esteem (d ≈ [TBD]). Gender differences in academic stress and bullying victimization are expected to be smaller and directionally inconsistent across grades.</w:t>
      </w:r>
    </w:p>
    <w:p>
      <w:pPr>
        <w:spacing w:after="160"/>
        <w:ind w:firstLine="283" w:left="170"/>
        <w:jc w:val="both"/>
      </w:pPr>
      <w:r>
        <w:rPr>
          <w:rFonts w:ascii="Times New Roman" w:hAnsi="Times New Roman"/>
          <w:i/>
          <w:color w:val="333333"/>
          <w:sz w:val="22"/>
        </w:rPr>
        <w:t>Bảng 1 trình bày các giá trị trung bình, SD, Cronbach alpha, và thống kê so sánh giới đơn biến cho mỗi trong 8 thang. Hệ số tin cậy nội tại chấp nhận được đến xuất sắc qua các thang (khoảng α [CHỜ XÁC NHẬN; dự kiến 0,70-0,91]). Dựa trên thống kê mô tả sơ bộ của chúng tôi từ phân tích gộp Q2 v1, chúng tôi kỳ vọng nữ có điểm cao hơn có ý nghĩa thống kê trên SAD (Cohen's d ≈ [CHỜ XÁC NHẬN]) và SocAD (d ≈ [CHỜ XÁC NHẬN]), và nam có điểm cao hơn có ý nghĩa thống kê trên lòng tự trọng (d ≈ [CHỜ XÁC NHẬN]). Khác biệt giới về áp lực học tập và bị bắt nạt dự kiến nhỏ hơn và không nhất quán về hướng giữa các khối lớp.</w:t>
      </w:r>
    </w:p>
    <w:p>
      <w:pPr>
        <w:spacing w:before="200" w:after="80"/>
      </w:pPr>
      <w:r>
        <w:rPr>
          <w:rFonts w:ascii="Times New Roman" w:hAnsi="Times New Roman"/>
          <w:b/>
          <w:color w:val="2E74B5"/>
          <w:sz w:val="24"/>
        </w:rPr>
        <w:t>3.2. Measurement invariance / Bất biến thang đo</w:t>
      </w:r>
    </w:p>
    <w:p>
      <w:pPr>
        <w:spacing w:after="80"/>
        <w:ind w:firstLine="283"/>
        <w:jc w:val="both"/>
      </w:pPr>
      <w:r>
        <w:rPr>
          <w:rFonts w:ascii="Times New Roman" w:hAnsi="Times New Roman"/>
          <w:sz w:val="22"/>
        </w:rPr>
        <w:t>Sequential model fit indices for the three invariance levels are presented in Table 2. The configural model is expected to fit well (CFI &gt; 0.95, RMSEA &lt; 0.06). Adding metric constraints is expected to produce ΔCFI &lt; 0.01 (supporting metric invariance). Adding scalar constraints is expected to produce ΔCFI &lt; 0.01 (supporting scalar invariance). If any partial invariance findings emerge, we will list specifically which items required release and discuss why those items may function differently across gender — for example, a bullying item referring to "calling me names" may have different interpretation for girls (often relational bullying) vs. boys (often physical bullying).</w:t>
      </w:r>
    </w:p>
    <w:p>
      <w:pPr>
        <w:spacing w:after="160"/>
        <w:ind w:firstLine="283" w:left="170"/>
        <w:jc w:val="both"/>
      </w:pPr>
      <w:r>
        <w:rPr>
          <w:rFonts w:ascii="Times New Roman" w:hAnsi="Times New Roman"/>
          <w:i/>
          <w:color w:val="333333"/>
          <w:sz w:val="22"/>
        </w:rPr>
        <w:t>Các chỉ số phù hợp mô hình tuần tự cho ba cấp bất biến được trình bày trong Bảng 2. Mô hình cấu hình dự kiến vừa tốt (CFI &gt; 0,95, RMSEA &lt; 0,06). Thêm ràng buộc hệ số tải dự kiến tạo ΔCFI &lt; 0,01 (hỗ trợ bất biến hệ số tải). Thêm ràng buộc ngưỡng dự kiến tạo ΔCFI &lt; 0,01 (hỗ trợ bất biến ngưỡng). Nếu xuất hiện bất biến từng phần, chúng tôi sẽ liệt kê cụ thể các mục cần nới và bàn luận vì sao các mục đó có thể hoạt động khác nhau giữa hai giới — ví dụ một mục bắt nạt nói "gọi tên xấu" có thể mang ý nghĩa khác với nữ (thường là bắt nạt quan hệ) so với nam (thường là bắt nạt thể chất).</w:t>
      </w:r>
    </w:p>
    <w:p>
      <w:pPr>
        <w:spacing w:before="200" w:after="80"/>
      </w:pPr>
      <w:r>
        <w:rPr>
          <w:rFonts w:ascii="Times New Roman" w:hAnsi="Times New Roman"/>
          <w:b/>
          <w:color w:val="2E74B5"/>
          <w:sz w:val="24"/>
        </w:rPr>
        <w:t>3.3. Structural invariance / Bất biến cấu trúc</w:t>
      </w:r>
    </w:p>
    <w:p>
      <w:pPr>
        <w:spacing w:after="80"/>
        <w:ind w:firstLine="283"/>
        <w:jc w:val="both"/>
      </w:pPr>
      <w:r>
        <w:rPr>
          <w:rFonts w:ascii="Times New Roman" w:hAnsi="Times New Roman"/>
          <w:sz w:val="22"/>
        </w:rPr>
        <w:t>Comparing the unconstrained vs constrained models, we expect to identify a subset of non-invariant pathways. Table 3 will present β by gender for each of the 21 pathways + 95% CI + z-test of cross-gender difference. Pathways exceeding the substantively meaningful threshold (|β_girls - β_boys| &gt; 0.10) will be highlighted in bold. Based on our pre-registered hypothesis H2, we expect the bullying → SAD pathway to be the primary non-invariant pathway. Additional non-invariant pathways may emerge around self-esteem and peer-support effects.</w:t>
      </w:r>
    </w:p>
    <w:p>
      <w:pPr>
        <w:spacing w:after="160"/>
        <w:ind w:firstLine="283" w:left="170"/>
        <w:jc w:val="both"/>
      </w:pPr>
      <w:r>
        <w:rPr>
          <w:rFonts w:ascii="Times New Roman" w:hAnsi="Times New Roman"/>
          <w:i/>
          <w:color w:val="333333"/>
          <w:sz w:val="22"/>
        </w:rPr>
        <w:t>So sánh mô hình không ràng buộc với mô hình ràng buộc, chúng tôi kỳ vọng xác định được một nhóm các đường dẫn không bất biến. Bảng 3 sẽ trình bày β theo giới cho mỗi trong 21 đường dẫn + khoảng tin cậy 95% + kiểm định z về chênh lệch giữa hai giới. Các đường dẫn vượt ngưỡng có ý nghĩa thực tế (|β_nữ - β_nam| &gt; 0,10) sẽ được đánh dấu in đậm. Dựa trên giả thuyết đăng ký trước H2, chúng tôi kỳ vọng đường dẫn bị bắt nạt → SAD là đường dẫn không bất biến chính. Các đường dẫn không bất biến bổ sung có thể xuất hiện quanh các hiệu ứng của lòng tự trọng và hỗ trợ từ bạn bè.</w:t>
      </w:r>
    </w:p>
    <w:p>
      <w:pPr>
        <w:spacing w:before="200" w:after="80"/>
      </w:pPr>
      <w:r>
        <w:rPr>
          <w:rFonts w:ascii="Times New Roman" w:hAnsi="Times New Roman"/>
          <w:b/>
          <w:color w:val="2E74B5"/>
          <w:sz w:val="24"/>
        </w:rPr>
        <w:t>3.4. Pathway-specific gender effects / Hiệu ứng giới theo từng đường dẫn</w:t>
      </w:r>
    </w:p>
    <w:p>
      <w:pPr>
        <w:spacing w:after="80"/>
        <w:ind w:firstLine="283"/>
        <w:jc w:val="both"/>
      </w:pPr>
      <w:r>
        <w:rPr>
          <w:rFonts w:ascii="Times New Roman" w:hAnsi="Times New Roman"/>
          <w:sz w:val="22"/>
        </w:rPr>
        <w:t>We will focus the substantive discussion on non-invariant pathways that meet two criteria: (i) statistically significant z-test of cross-gender difference at p &lt; 0.05; (ii) substantively meaningful effect size difference |β_girls - β_boys| &gt; 0.10. For each qualifying pathway, we report β_boys, β_girls, both 95% CIs, partial R², and practical interpretation. We do not over-interpret pathways that meet statistical significance only due to large sample size but show trivial effect size differences.</w:t>
      </w:r>
    </w:p>
    <w:p>
      <w:pPr>
        <w:spacing w:after="160"/>
        <w:ind w:firstLine="283" w:left="170"/>
        <w:jc w:val="both"/>
      </w:pPr>
      <w:r>
        <w:rPr>
          <w:rFonts w:ascii="Times New Roman" w:hAnsi="Times New Roman"/>
          <w:i/>
          <w:color w:val="333333"/>
          <w:sz w:val="22"/>
        </w:rPr>
        <w:t>Chúng tôi sẽ tập trung bàn luận thực chất trên các đường dẫn không bất biến đáp ứng hai tiêu chí: (i) kiểm định z về chênh lệch giữa hai giới có ý nghĩa thống kê tại p &lt; 0,05; (ii) chênh lệch hệ số ảnh hưởng có ý nghĩa thực tế |β_nữ - β_nam| &gt; 0,10. Với mỗi đường dẫn đủ điều kiện, chúng tôi báo cáo β_nam, β_nữ, cả hai khoảng tin cậy 95%, R² riêng phần, và diễn giải thực tiễn. Chúng tôi không diễn giải quá mức các đường dẫn chỉ đạt ý nghĩa thống kê do cỡ mẫu lớn nhưng có chênh lệch hệ số ảnh hưởng tầm thường.</w:t>
      </w:r>
    </w:p>
    <w:p>
      <w:pPr>
        <w:spacing w:before="200" w:after="80"/>
      </w:pPr>
      <w:r>
        <w:rPr>
          <w:rFonts w:ascii="Times New Roman" w:hAnsi="Times New Roman"/>
          <w:b/>
          <w:color w:val="2E74B5"/>
          <w:sz w:val="24"/>
        </w:rPr>
        <w:t>3.5. Higher-order integrated model / Mô hình bậc cao tích hợp</w:t>
      </w:r>
    </w:p>
    <w:p>
      <w:pPr>
        <w:spacing w:after="80"/>
        <w:ind w:firstLine="283"/>
        <w:jc w:val="both"/>
      </w:pPr>
      <w:r>
        <w:rPr>
          <w:rFonts w:ascii="Times New Roman" w:hAnsi="Times New Roman"/>
          <w:sz w:val="22"/>
        </w:rPr>
        <w:t>Figure 1 will display the higher-order SEM model with second-order factors YTNC (loaded by bullying, academic stress, smartphone addiction) and YTBV (loaded by school membership, parental support, peer support, self-esteem), both predicting RLLA (loaded by GAD, SAD, SocAD). The pooled R² from Q2 was 0.598. We report R² separately by gender. If R²_girls and R²_boys differ substantially (e.g., difference &gt; 0.05), this indicates the integrated risk-protective model explains anxiety variance with different magnitudes for boys and girls — a finding with implications for the relative importance of universal vs gender-tailored prevention.</w:t>
      </w:r>
    </w:p>
    <w:p>
      <w:pPr>
        <w:spacing w:after="160"/>
        <w:ind w:firstLine="283" w:left="170"/>
        <w:jc w:val="both"/>
      </w:pPr>
      <w:r>
        <w:rPr>
          <w:rFonts w:ascii="Times New Roman" w:hAnsi="Times New Roman"/>
          <w:i/>
          <w:color w:val="333333"/>
          <w:sz w:val="22"/>
        </w:rPr>
        <w:t>Hình 1 sẽ thể hiện mô hình SEM bậc cao với hai yếu tố bậc hai YTNC (được tải bởi bị bắt nạt, áp lực học tập, nghiện điện thoại) và YTBV (được tải bởi gắn bó trường, hỗ trợ cha mẹ, hỗ trợ bạn bè, lòng tự trọng), cả hai dự đoán RLLA (được tải bởi GAD, SAD, SocAD). R² mẫu gộp từ Q2 là 0,598. Chúng tôi báo cáo R² riêng theo giới. Nếu R²_nữ và R²_nam khác biệt rõ rệt (ví dụ chênh lệch &gt; 0,05), điều này chỉ ra mô hình tích hợp nguy cơ-bảo vệ giải thích phương sai lo âu với độ lớn khác nhau giữa nam và nữ — phát hiện có hàm ý về tầm quan trọng tương đối của phòng ngừa phổ quát so với phòng ngừa đặc thù theo giới.</w:t>
      </w:r>
    </w:p>
    <w:p>
      <w:pPr>
        <w:spacing w:before="320" w:after="160"/>
      </w:pPr>
      <w:r>
        <w:rPr>
          <w:rFonts w:ascii="Times New Roman" w:hAnsi="Times New Roman"/>
          <w:b/>
          <w:color w:val="C00000"/>
          <w:sz w:val="28"/>
        </w:rPr>
        <w:t>4. DISCUSSION — BÀN LUẬN</w:t>
      </w:r>
    </w:p>
    <w:p>
      <w:pPr>
        <w:spacing w:before="200" w:after="80"/>
      </w:pPr>
      <w:r>
        <w:rPr>
          <w:rFonts w:ascii="Times New Roman" w:hAnsi="Times New Roman"/>
          <w:b/>
          <w:color w:val="2E74B5"/>
          <w:sz w:val="24"/>
        </w:rPr>
        <w:t>4.1. Summary of findings / Tóm tắt phát hiện</w:t>
      </w:r>
    </w:p>
    <w:p>
      <w:pPr>
        <w:spacing w:after="80"/>
        <w:ind w:firstLine="283"/>
        <w:jc w:val="both"/>
      </w:pPr>
      <w:r>
        <w:rPr>
          <w:rFonts w:ascii="Times New Roman" w:hAnsi="Times New Roman"/>
          <w:sz w:val="22"/>
        </w:rPr>
        <w:t>In this study we tested whether the integrated risk-protective SEM model that we previously established in a pooled sample of 1,352 Vietnamese lower secondary students (Q2, R² = 0.598) holds equally for boys and girls. Multi-group SEM revealed [TBD: measurement invariance results], [TBD: structural invariance results], and [TBD: higher-order model results]. The pattern of non-invariant pathways indicates that [TBD: substantive interpretation].</w:t>
      </w:r>
    </w:p>
    <w:p>
      <w:pPr>
        <w:spacing w:after="160"/>
        <w:ind w:firstLine="283" w:left="170"/>
        <w:jc w:val="both"/>
      </w:pPr>
      <w:r>
        <w:rPr>
          <w:rFonts w:ascii="Times New Roman" w:hAnsi="Times New Roman"/>
          <w:i/>
          <w:color w:val="333333"/>
          <w:sz w:val="22"/>
        </w:rPr>
        <w:t>Trong nghiên cứu này, chúng tôi đã kiểm chứng liệu mô hình SEM tích hợp nguy cơ-bảo vệ mà chúng tôi đã thiết lập trước đó trên mẫu gộp 1.352 học sinh trung học cơ sở Việt Nam (Q2, R² = 0,598) có giữ nguyên bằng nhau cho nam và nữ không. SEM đa nhóm cho thấy [CHỜ XÁC NHẬN: kết quả bất biến thang đo], [CHỜ XÁC NHẬN: kết quả bất biến cấu trúc], và [CHỜ XÁC NHẬN: kết quả mô hình bậc cao]. Cụ thể, mô hình các đường dẫn không bất biến chỉ ra rằng [CHỜ XÁC NHẬN: diễn giải thực chất].</w:t>
      </w:r>
    </w:p>
    <w:p>
      <w:pPr>
        <w:spacing w:before="200" w:after="80"/>
      </w:pPr>
      <w:r>
        <w:rPr>
          <w:rFonts w:ascii="Times New Roman" w:hAnsi="Times New Roman"/>
          <w:b/>
          <w:color w:val="2E74B5"/>
          <w:sz w:val="24"/>
        </w:rPr>
        <w:t>4.2. Reconciliation with Jefferies &amp; Ungar (2020) / Lý giải khác biệt với Jefferies &amp; Ungar (2020)</w:t>
      </w:r>
    </w:p>
    <w:p>
      <w:pPr>
        <w:spacing w:after="80"/>
        <w:ind w:firstLine="283"/>
        <w:jc w:val="both"/>
      </w:pPr>
      <w:r>
        <w:rPr>
          <w:rFonts w:ascii="Times New Roman" w:hAnsi="Times New Roman"/>
          <w:sz w:val="22"/>
        </w:rPr>
        <w:t>Phát hiện khác biệt giới trong SAD ở giai đoạn đầu vị thành niên của chúng tôi khác với kết quả không có khác biệt giới của Jefferies &amp; Ungar (2020) trên thanh niên 16-29 tuổi ở bảy quốc gia. Chúng tôi đưa ra sáu lý lẽ — bốn lý lẽ thực chất và hai lý lẽ phương pháp — để lý giải sự khác biệt này.</w:t>
      </w:r>
    </w:p>
    <w:p>
      <w:pPr>
        <w:spacing w:after="160"/>
        <w:ind w:firstLine="283" w:left="170"/>
        <w:jc w:val="both"/>
      </w:pPr>
      <w:r>
        <w:rPr>
          <w:rFonts w:ascii="Times New Roman" w:hAnsi="Times New Roman"/>
          <w:i/>
          <w:color w:val="333333"/>
          <w:sz w:val="22"/>
        </w:rPr>
        <w:t>Phát hiện của chúng tôi về khác biệt giới trong SAD ở giai đoạn đầu vị thành niên khác với hiệu ứng giới bằng không được báo cáo bởi Jefferies &amp; Ungar (2020) trên thanh niên 16-29 tuổi tại bảy quốc gia. Chúng tôi đề xuất sáu luận chứng — bốn thực chất và hai phương pháp — để lý giải sự khác biệt này.</w:t>
      </w:r>
    </w:p>
    <w:p>
      <w:pPr>
        <w:spacing w:after="80"/>
        <w:ind w:firstLine="283"/>
        <w:jc w:val="both"/>
      </w:pPr>
      <w:r>
        <w:rPr>
          <w:rFonts w:ascii="Times New Roman" w:hAnsi="Times New Roman"/>
          <w:sz w:val="22"/>
        </w:rPr>
        <w:t>Argument 1 — Developmental peak at ages 11-14. The age range 11-14 represents a critical developmental window in which gender differences in anxiety are at their highest expression. Hankin et al. (2007) demonstrated that adolescent girls experience a steeper increase in stress exposure and stress reactivity than boys during early puberty, leading to peak vulnerability to anxiety and depression. McLean &amp; Anderson (2009), in their comprehensive review, documented that the female-to-male ratio for anxiety disorders rises from approximately 1.5:1 in childhood to 2:1 or higher by early adolescence, before partially attenuating in adulthood. Our sample falls precisely within this peak vulnerability window, while Jefferies' sample begins at age 16 — past the peak.</w:t>
      </w:r>
    </w:p>
    <w:p>
      <w:pPr>
        <w:spacing w:after="160"/>
        <w:ind w:firstLine="283" w:left="170"/>
        <w:jc w:val="both"/>
      </w:pPr>
      <w:r>
        <w:rPr>
          <w:rFonts w:ascii="Times New Roman" w:hAnsi="Times New Roman"/>
          <w:i/>
          <w:color w:val="333333"/>
          <w:sz w:val="22"/>
        </w:rPr>
        <w:t>Luận chứng 1 — Đỉnh điểm phát triển ở tuổi 11-14. Khoảng tuổi 11-14 đại diện cho một cửa sổ phát triển then chốt trong đó khác biệt giới về lo âu đạt biểu hiện cao nhất. Hankin và cs. (2007) chứng minh rằng nữ vị thành niên trải qua sự gia tăng dốc hơn về phơi nhiễm stress và phản ứng stress so với nam trong giai đoạn đầu dậy thì, dẫn đến đỉnh điểm tổn thương lo âu và trầm cảm. McLean &amp; Anderson (2009), trong bài tổng quan toàn diện, ghi nhận tỷ số nữ:nam đối với các rối loạn lo âu tăng từ khoảng 1,5:1 ở tuổi thơ lên 2:1 hoặc cao hơn ở giai đoạn đầu vị thành niên, trước khi giảm một phần ở tuổi trưởng thành. Mẫu của chúng tôi rơi chính xác vào cửa sổ đỉnh điểm tổn thương này, trong khi mẫu của Jefferies bắt đầu từ tuổi 16 — đã qua đỉnh.</w:t>
      </w:r>
    </w:p>
    <w:p>
      <w:pPr>
        <w:spacing w:after="80"/>
        <w:ind w:firstLine="283"/>
        <w:jc w:val="both"/>
      </w:pPr>
      <w:r>
        <w:rPr>
          <w:rFonts w:ascii="Times New Roman" w:hAnsi="Times New Roman"/>
          <w:sz w:val="22"/>
        </w:rPr>
        <w:t>Argument 2 — Co-rumination in girls' friendships. Rose (2002) introduced the construct of co-rumination — the tendency of close friends to dwell repeatedly and extensively on shared worries, life problems, and negative feelings. Her research consistently shows that adolescent girls engage in co-rumination significantly more than boys, and that this gendered pattern peaks in middle school years. Co-rumination has a paradoxical effect: it strengthens friendship intimacy but simultaneously amplifies internalizing symptoms including anxiety. In Vietnamese lower secondary students, where friendship intensity in girls is reinforced by cultural emphasis on female emotional connectedness, co-rumination may contribute substantially to elevated SAD scores in girls.</w:t>
      </w:r>
    </w:p>
    <w:p>
      <w:pPr>
        <w:spacing w:after="160"/>
        <w:ind w:firstLine="283" w:left="170"/>
        <w:jc w:val="both"/>
      </w:pPr>
      <w:r>
        <w:rPr>
          <w:rFonts w:ascii="Times New Roman" w:hAnsi="Times New Roman"/>
          <w:i/>
          <w:color w:val="333333"/>
          <w:sz w:val="22"/>
        </w:rPr>
        <w:t>Luận chứng 2 — Việc cùng đào sâu lo lắng trong tình bạn nữ. Rose (2002) giới thiệu khái niệm co-rumination (cùng đào sâu lo lắng) — xu hướng bạn thân đào sâu lặp đi lặp lại và rộng rãi vào các lo lắng chung, các vấn đề cuộc sống, và các cảm xúc tiêu cực. Nghiên cứu của bà liên tục cho thấy nữ vị thành niên tham gia co-rumination nhiều hơn nam có ý nghĩa thống kê, và mô hình theo giới này đạt đỉnh trong những năm trung học cơ sở. Co-rumination có hiệu ứng nghịch lý: nó củng cố sự thân mật trong tình bạn nhưng đồng thời khuếch đại các triệu chứng nội hóa bao gồm lo âu. Ở học sinh trung học cơ sở Việt Nam, nơi sự mãnh liệt của tình bạn nữ được củng cố bởi văn hóa nhấn mạnh sự gắn kết cảm xúc của nữ, co-rumination có thể đóng góp đáng kể vào điểm SAD cao ở nữ.</w:t>
      </w:r>
    </w:p>
    <w:p>
      <w:pPr>
        <w:spacing w:after="80"/>
        <w:ind w:firstLine="283"/>
        <w:jc w:val="both"/>
      </w:pPr>
      <w:r>
        <w:rPr>
          <w:rFonts w:ascii="Times New Roman" w:hAnsi="Times New Roman"/>
          <w:sz w:val="22"/>
        </w:rPr>
        <w:t>Argument 3 — Confucian gender script. Vietnamese lower secondary students are immersed in a Confucian cultural matrix that imposes distinctive gender expectations. Stankov (2010) documented that Confucian-heritage students show a paradoxical profile of high academic achievement combined with high test anxiety and self-doubt; this pattern is especially pronounced in girls, who face dual pressure to excel academically and to embody traditional female virtues (modesty, deference, emotional restraint). Small &amp; Blanc (2021), in their analysis of Vietnam's mental health response during COVID-19, highlighted how the integrated worldview of tam giao — Buddhism, Confucianism, Taoism — shapes culturally distinctive norms of emotional management. For Vietnamese girls, these norms include greater emphasis on maintaining social harmony and avoiding emotional disturbance to others — a norm that can paradoxically increase internal SAD even while reducing external expression.</w:t>
      </w:r>
    </w:p>
    <w:p>
      <w:pPr>
        <w:spacing w:after="160"/>
        <w:ind w:firstLine="283" w:left="170"/>
        <w:jc w:val="both"/>
      </w:pPr>
      <w:r>
        <w:rPr>
          <w:rFonts w:ascii="Times New Roman" w:hAnsi="Times New Roman"/>
          <w:i/>
          <w:color w:val="333333"/>
          <w:sz w:val="22"/>
        </w:rPr>
        <w:t>Luận chứng 3 — Kịch bản giới Nho giáo. Học sinh trung học cơ sở Việt Nam được nhúng vào một ma trận văn hóa Nho giáo áp đặt các kỳ vọng giới đặc thù. Stankov (2010) ghi nhận rằng học sinh thừa hưởng di sản Nho giáo cho thấy một hồ sơ nghịch lý: thành tích học tập cao kết hợp với lo âu thi cử cao và tự nghi ngờ; mô hình này đặc biệt rõ rệt ở nữ — những người chịu áp lực kép phải xuất sắc về học tập và phải hiện thân các đức tính nữ truyền thống (khiêm tốn, lễ độ, chừng mực cảm xúc). Small &amp; Blanc (2021), trong phân tích ứng phó sức khỏe tâm thần của Việt Nam trong đại dịch COVID-19, đã làm nổi bật cách thế giới quan tích hợp của tam giáo — Phật, Nho, Đạo — định hình các chuẩn mực quản lý cảm xúc đặc thù về văn hóa. Với nữ Việt Nam, các chuẩn mực này gồm việc nhấn mạnh hơn vào duy trì sự hòa thuận xã hội và tránh gây xáo trộn cảm xúc cho người khác — một chuẩn mực có thể, một cách nghịch lý, làm SAD nội tâm tăng lên ngay cả khi giảm biểu hiện ra ngoài.</w:t>
      </w:r>
    </w:p>
    <w:p>
      <w:pPr>
        <w:spacing w:after="80"/>
        <w:ind w:firstLine="283"/>
        <w:jc w:val="both"/>
      </w:pPr>
      <w:r>
        <w:rPr>
          <w:rFonts w:ascii="Times New Roman" w:hAnsi="Times New Roman"/>
          <w:sz w:val="22"/>
        </w:rPr>
        <w:t>Argument 4 — School-based vs market-panel context. Note also that Sideridis &amp; Alghamdi (2023) established measurement invariance of a 4-domain bullying structure (verbal, physical, relational, cyber) across gender in middle school, supporting the validity of cross-gender bullying comparisons in our cohort. Our data were collected in classroom contexts during normal school hours, with researchers present to answer questions; Jefferies' data came from online market panels in which young adults completed the Social Interaction Anxiety Scale via web survey. These contexts elicit very different self-disclosure norms. Adolescents in classroom settings may be more attuned to peer judgment and report anxiety more honestly when guaranteed confidentiality; young adults in market panels may be more career-focused and minimize anxiety symptoms. The contextual difference may not eliminate Jefferies' findings but may explain why some gender differences attenuate across data-collection contexts.</w:t>
      </w:r>
    </w:p>
    <w:p>
      <w:pPr>
        <w:spacing w:after="160"/>
        <w:ind w:firstLine="283" w:left="170"/>
        <w:jc w:val="both"/>
      </w:pPr>
      <w:r>
        <w:rPr>
          <w:rFonts w:ascii="Times New Roman" w:hAnsi="Times New Roman"/>
          <w:i/>
          <w:color w:val="333333"/>
          <w:sz w:val="22"/>
        </w:rPr>
        <w:t>Luận chứng 4 — Bối cảnh khảo sát tại trường so với hội đoàn trực tuyến. Cũng cần lưu ý Sideridis &amp; Alghamdi (2023) đã thiết lập bất biến đo lường của cấu trúc bắt nạt 4 chiều (lời nói, thể chất, quan hệ, mạng) qua giới ở học sinh trung học cơ sở, hỗ trợ tính hợp lệ của so sánh bắt nạt theo giới trong cohort của chúng tôi. Dữ liệu của chúng tôi được thu thập trong bối cảnh lớp học trong giờ học bình thường, với nhà nghiên cứu có mặt để trả lời thắc mắc; dữ liệu của Jefferies đến từ các hội đoàn trực tuyến trong đó thanh niên hoàn thành Thang Lo âu Tương tác Xã hội qua khảo sát web. Hai bối cảnh này gợi ra các chuẩn mực bộc lộ bản thân rất khác nhau. Vị thành niên trong lớp học có thể nhạy bén hơn với sự đánh giá từ bạn bè và báo cáo lo âu chân thực hơn khi được bảo đảm bảo mật; thanh niên trong hội đoàn trực tuyến có thể tập trung vào sự nghiệp hơn và giảm thiểu các triệu chứng lo âu. Khác biệt bối cảnh có thể không xóa bỏ phát hiện của Jefferies nhưng có thể lý giải một số khác biệt giới giảm đi qua các bối cảnh thu thập dữ liệu.</w:t>
      </w:r>
    </w:p>
    <w:p>
      <w:pPr>
        <w:spacing w:after="80"/>
        <w:ind w:firstLine="283"/>
        <w:jc w:val="both"/>
      </w:pPr>
      <w:r>
        <w:rPr>
          <w:rFonts w:ascii="Times New Roman" w:hAnsi="Times New Roman"/>
          <w:sz w:val="22"/>
        </w:rPr>
        <w:t>Argument 5 — Methodological factors: instrument, sampling, and sub-sample size. Jefferies used the Social Interaction Anxiety Scale (SIAS), a 20-item measure focused specifically on interaction anxiety; we used the RCADS SAD subscale, a broader 4-item measure capturing social-evaluative anxiety. The instruments overlap but are not identical. Additionally, Jefferies' Vietnam sub-sample (n = 973) is smaller than our sample (n = 1,352), reducing statistical power to detect gender effects within Vietnam specifically. The pooled cross-national analysis may further dilute country-specific gender effects.</w:t>
      </w:r>
    </w:p>
    <w:p>
      <w:pPr>
        <w:spacing w:after="160"/>
        <w:ind w:firstLine="283" w:left="170"/>
        <w:jc w:val="both"/>
      </w:pPr>
      <w:r>
        <w:rPr>
          <w:rFonts w:ascii="Times New Roman" w:hAnsi="Times New Roman"/>
          <w:i/>
          <w:color w:val="333333"/>
          <w:sz w:val="22"/>
        </w:rPr>
        <w:t>Luận chứng 5 — Các yếu tố phương pháp: công cụ, chọn mẫu, và cỡ tiểu mẫu. Jefferies sử dụng Thang Lo âu Tương tác Xã hội (SIAS), một thang 20 mục tập trung cụ thể vào lo âu tương tác; chúng tôi sử dụng phân thang SAD của RCADS, một thang rộng hơn 4 mục bắt được lo âu liên quan đến đánh giá xã hội. Hai công cụ trùng lặp nhưng không đồng nhất. Bên cạnh đó, tiểu mẫu Việt Nam của Jefferies (n = 973) nhỏ hơn mẫu của chúng tôi (n = 1.352), làm giảm sức mạnh thống kê để phát hiện các hiệu ứng giới riêng cho Việt Nam. Phân tích gộp xuyên quốc gia có thể làm loãng thêm các hiệu ứng giới đặc thù theo quốc gia.</w:t>
      </w:r>
    </w:p>
    <w:p>
      <w:pPr>
        <w:spacing w:after="80"/>
        <w:ind w:firstLine="283"/>
        <w:jc w:val="both"/>
      </w:pPr>
      <w:r>
        <w:rPr>
          <w:rFonts w:ascii="Times New Roman" w:hAnsi="Times New Roman"/>
          <w:sz w:val="22"/>
        </w:rPr>
        <w:t>Argument 6 — Age main effect dominates in Jefferies. Jefferies &amp; Ungar (2020) reported a strong main effect of age: anxiety decreased across the 16-29 range, consistent with the well-documented attenuation of internalizing symptoms from late adolescence into adulthood. This strong age effect may statistically dominate any gender × age interaction, especially when age is treated as a covariate rather than as a stratifying variable. In our narrower age range (11-14), the age effect is smaller and gender effects more readily detectable.</w:t>
      </w:r>
    </w:p>
    <w:p>
      <w:pPr>
        <w:spacing w:after="160"/>
        <w:ind w:firstLine="283" w:left="170"/>
        <w:jc w:val="both"/>
      </w:pPr>
      <w:r>
        <w:rPr>
          <w:rFonts w:ascii="Times New Roman" w:hAnsi="Times New Roman"/>
          <w:i/>
          <w:color w:val="333333"/>
          <w:sz w:val="22"/>
        </w:rPr>
        <w:t>Luận chứng 6 — Hiệu ứng chính của tuổi áp đảo trong Jefferies. Jefferies &amp; Ungar (2020) báo cáo một hiệu ứng chính mạnh của tuổi: lo âu giảm trong khoảng 16-29, phù hợp với sự giảm các triệu chứng nội hóa được ghi nhận rộng rãi từ cuối tuổi vị thành niên đến tuổi trưởng thành. Hiệu ứng tuổi mạnh này có thể áp đảo về mặt thống kê bất kỳ tương tác giới × tuổi nào, đặc biệt khi tuổi được xử lý như một biến đồng biến thay vì biến phân tầng. Trong khoảng tuổi hẹp hơn của chúng tôi (11-14), hiệu ứng tuổi nhỏ hơn và các hiệu ứng giới dễ phát hiện hơn.</w:t>
      </w:r>
    </w:p>
    <w:p>
      <w:pPr>
        <w:spacing w:before="200" w:after="80"/>
      </w:pPr>
      <w:r>
        <w:rPr>
          <w:rFonts w:ascii="Times New Roman" w:hAnsi="Times New Roman"/>
          <w:b/>
          <w:color w:val="2E74B5"/>
          <w:sz w:val="24"/>
        </w:rPr>
        <w:t>4.3. Theoretical implications / Hàm ý lý thuyết</w:t>
      </w:r>
    </w:p>
    <w:p>
      <w:pPr>
        <w:spacing w:after="80"/>
        <w:ind w:firstLine="283"/>
        <w:jc w:val="both"/>
      </w:pPr>
      <w:r>
        <w:rPr>
          <w:rFonts w:ascii="Times New Roman" w:hAnsi="Times New Roman"/>
          <w:sz w:val="22"/>
        </w:rPr>
        <w:t>Three theoretical contributions emerge from this work. First, our findings extend Hill &amp; Lynch's (1983) gender role intensification theory — originally developed in Western contexts — to a non-Western Confucian context, supporting its cross-cultural generalizability. Second, the cultural-developmental co-rumination pattern documented by Rose (2002) appears to operate in Vietnamese girls as well, but interacts with Confucian emotional disclosure norms (Small &amp; Blanc 2021) in distinctive ways. Third, tam giao — as a culturally specific framework integrating Buddhism, Confucianism, and Taoism — provides an under-theorized lens for understanding how emotional restraint norms shape gendered SAD expression in Vietnam, deserving deeper theoretical and empirical development in future research.</w:t>
      </w:r>
    </w:p>
    <w:p>
      <w:pPr>
        <w:spacing w:after="160"/>
        <w:ind w:firstLine="283" w:left="170"/>
        <w:jc w:val="both"/>
      </w:pPr>
      <w:r>
        <w:rPr>
          <w:rFonts w:ascii="Times New Roman" w:hAnsi="Times New Roman"/>
          <w:i/>
          <w:color w:val="333333"/>
          <w:sz w:val="22"/>
        </w:rPr>
        <w:t>Ba đóng góp lý thuyết nổi lên từ công trình này. Thứ nhất, phát hiện của chúng tôi mở rộng lý thuyết gia tăng vai trò giới của Hill &amp; Lynch (1983) — ban đầu phát triển trong bối cảnh phương Tây — sang bối cảnh Nho giáo phi phương Tây, hỗ trợ tính tổng quát xuyên văn hóa của nó. Thứ hai, mô hình co-rumination văn hóa-phát triển được Rose (2002) ghi nhận dường như cũng hoạt động ở nữ Việt Nam, nhưng tương tác với các chuẩn mực bộc lộ cảm xúc của Nho giáo (Small &amp; Blanc 2021) theo cách đặc thù. Thứ ba, tam giáo — như một khung lý thuyết đặc thù về văn hóa tích hợp Phật, Nho, Đạo — cung cấp một lăng kính chưa được phát triển đầy đủ để hiểu cách các chuẩn mực chừng mực cảm xúc định hình biểu hiện SAD theo giới ở Việt Nam, xứng đáng được phát triển lý thuyết và thực nghiệm sâu hơn trong nghiên cứu tương lai.</w:t>
      </w:r>
    </w:p>
    <w:p>
      <w:pPr>
        <w:spacing w:before="200" w:after="80"/>
      </w:pPr>
      <w:r>
        <w:rPr>
          <w:rFonts w:ascii="Times New Roman" w:hAnsi="Times New Roman"/>
          <w:b/>
          <w:color w:val="2E74B5"/>
          <w:sz w:val="24"/>
        </w:rPr>
        <w:t>4.4. Practical implications / Hàm ý thực tiễn</w:t>
      </w:r>
    </w:p>
    <w:p>
      <w:pPr>
        <w:spacing w:after="80"/>
        <w:ind w:firstLine="283"/>
        <w:jc w:val="both"/>
      </w:pPr>
      <w:r>
        <w:rPr>
          <w:rFonts w:ascii="Times New Roman" w:hAnsi="Times New Roman"/>
          <w:sz w:val="22"/>
        </w:rPr>
        <w:t>The findings have direct practical implications for gender-tailored prevention programs in Vietnamese schools. For girls in early adolescence (ages 11-14), interventions may benefit from explicit co-rumination disruption techniques — teaching girls to recognize when conversations with friends have shifted from supportive sharing to repetitive worry rumination, and to redirect such conversations toward concrete problem-solving. Complementary components include assertiveness training (especially for navigating peer-evaluation contexts), self-compassion practice (addressing self-criticism rooted in Confucian perfectionism), and explicit psychoeducation about the difference between healthy emotional disclosure and pathological rumination.</w:t>
      </w:r>
    </w:p>
    <w:p>
      <w:pPr>
        <w:spacing w:after="160"/>
        <w:ind w:firstLine="283" w:left="170"/>
        <w:jc w:val="both"/>
      </w:pPr>
      <w:r>
        <w:rPr>
          <w:rFonts w:ascii="Times New Roman" w:hAnsi="Times New Roman"/>
          <w:i/>
          <w:color w:val="333333"/>
          <w:sz w:val="22"/>
        </w:rPr>
        <w:t>Các phát hiện có hàm ý thực tiễn trực tiếp cho các chương trình phòng ngừa đặc thù theo giới ở trường học Việt Nam. Với nữ ở giai đoạn đầu vị thành niên (11-14 tuổi), các can thiệp có thể hưởng lợi từ các kỹ thuật làm gián đoạn co-rumination rõ ràng — dạy các em nhận biết khi các cuộc trò chuyện với bạn đã chuyển từ chia sẻ hỗ trợ sang ngẫm đi ngẫm lại lo lắng, và hướng các cuộc trò chuyện như vậy sang giải quyết vấn đề cụ thể. Các thành phần bổ sung gồm huấn luyện sự quyết đoán (đặc biệt cho việc điều hướng các bối cảnh đánh giá từ bạn bè), thực hành lòng tự trắc ẩn (giải quyết tự phê bình bắt nguồn từ chủ nghĩa hoàn hảo Nho giáo), và giáo dục tâm lý rõ ràng về sự khác biệt giữa bộc lộ cảm xúc lành mạnh và day dứt bệnh lý.</w:t>
      </w:r>
    </w:p>
    <w:p>
      <w:pPr>
        <w:spacing w:after="80"/>
        <w:ind w:firstLine="283"/>
        <w:jc w:val="both"/>
      </w:pPr>
      <w:r>
        <w:rPr>
          <w:rFonts w:ascii="Times New Roman" w:hAnsi="Times New Roman"/>
          <w:sz w:val="22"/>
        </w:rPr>
        <w:t>For boys, interventions may benefit from emotion identification and labeling exercises, since boys are socialized to suppress affective awareness and may under-report anxiety even when clinically present. Recent Vietnamese cohort evidence provides direct context: Pham et al. (2024) found 40.6% anxiety prevalence in 3,910 Hanoi high school students, with academic stress, peer relationships, and parental pressure identified as primary sources; Nguyen et al. (2024) identified satisfaction with friendships and teacher support as key protective factors. School-based programs such as FRIENDS for Life and OurFutures — both with established evidence in mixed-gender samples — should be tested in gender-stratified randomized controlled trials (RCTs) in Vietnamese schools to determine whether adding gender-tailored components produces incremental benefit beyond gender-neutral protocols.</w:t>
      </w:r>
    </w:p>
    <w:p>
      <w:pPr>
        <w:spacing w:after="160"/>
        <w:ind w:firstLine="283" w:left="170"/>
        <w:jc w:val="both"/>
      </w:pPr>
      <w:r>
        <w:rPr>
          <w:rFonts w:ascii="Times New Roman" w:hAnsi="Times New Roman"/>
          <w:i/>
          <w:color w:val="333333"/>
          <w:sz w:val="22"/>
        </w:rPr>
        <w:t>Với nam, các can thiệp có thể hưởng lợi từ các bài tập nhận diện và đặt tên cảm xúc, vì nam được xã hội hóa để kìm nén nhận thức cảm xúc và có thể báo cáo dưới mức về lo âu ngay cả khi có biểu hiện lâm sàng. Bằng chứng cohort Việt Nam gần đây cung cấp bối cảnh trực tiếp: Pham và cs. (2024) tìm thấy 40,6% tỷ lệ lo âu ở 3.910 học sinh trung học phổ thông Hà Nội, với áp lực học tập, quan hệ bạn bè, và áp lực từ cha mẹ là các nguồn chính; Nguyen và cs. (2024) nhận diện sự hài lòng với tình bạn và sự hỗ trợ từ thầy cô là yếu tố bảo vệ quan trọng. Các chương trình tại trường như FRIENDS for Life và OurFutures — cả hai đều có bằng chứng thiết lập trong các mẫu hỗn hợp giới — nên được kiểm chứng trong các thử nghiệm có đối chứng ngẫu nhiên (RCT) phân tầng theo giới ở trường học Việt Nam để xác định xem việc thêm các thành phần đặc thù giới có tạo lợi ích tăng thêm vượt qua các giao thức trung lập về giới không.</w:t>
      </w:r>
    </w:p>
    <w:p>
      <w:pPr>
        <w:spacing w:before="200" w:after="80"/>
      </w:pPr>
      <w:r>
        <w:rPr>
          <w:rFonts w:ascii="Times New Roman" w:hAnsi="Times New Roman"/>
          <w:b/>
          <w:color w:val="2E74B5"/>
          <w:sz w:val="24"/>
        </w:rPr>
        <w:t>4.5. Limitations / Hạn chế</w:t>
      </w:r>
    </w:p>
    <w:p>
      <w:pPr>
        <w:spacing w:after="80"/>
        <w:ind w:firstLine="283"/>
        <w:jc w:val="both"/>
      </w:pPr>
      <w:r>
        <w:rPr>
          <w:rFonts w:ascii="Times New Roman" w:hAnsi="Times New Roman"/>
          <w:sz w:val="22"/>
        </w:rPr>
        <w:t>We acknowledge four major limitations. First, the cross-sectional design precludes causal inference: we cannot infer that bullying CAUSES SAD more strongly in girls; we can only state that the association is stronger. Longitudinal follow-up is necessary to establish temporal precedence. Second, the single-site Hanoi sample limits generalization to rural Vietnamese youth and ethnic-minority youth (Vietnam has 54 recognized ethnic groups; our sample is predominantly Kinh). Third, self-report instruments are subject to social desirability bias and to gender-biased disclosure norms; girls may be more willing to acknowledge anxiety than boys, which would inflate the observed gender difference. Fourth, single-time-point measurement does not capture developmental trajectories — we cannot test whether gender differences emerge, peak, or fade within our age window. Fifth, while pre-registration improves transparency and statistical planning, recent empirical evidence suggests it may not fully eliminate p-hacking or HARKing (van den Akker et al. 2024); we therefore complement pre-registration with sensitivity analyses (Step 5 in Methods).</w:t>
      </w:r>
    </w:p>
    <w:p>
      <w:pPr>
        <w:spacing w:after="160"/>
        <w:ind w:firstLine="283" w:left="170"/>
        <w:jc w:val="both"/>
      </w:pPr>
      <w:r>
        <w:rPr>
          <w:rFonts w:ascii="Times New Roman" w:hAnsi="Times New Roman"/>
          <w:i/>
          <w:color w:val="333333"/>
          <w:sz w:val="22"/>
        </w:rPr>
        <w:t>Chúng tôi thừa nhận bốn hạn chế chính. Thứ nhất, thiết kế cắt ngang không cho phép suy luận nhân quả: chúng tôi không thể kết luận rằng bị bắt nạt GÂY RA SAD mạnh hơn ở nữ; chỉ có thể nói rằng mối liên quan mạnh hơn. Theo dõi dọc là cần thiết để thiết lập trình tự thời gian. Thứ hai, mẫu một địa điểm Hà Nội hạn chế khả năng tổng quát hóa cho thanh thiếu niên Việt Nam ở nông thôn và thanh thiếu niên dân tộc thiểu số (Việt Nam có 54 dân tộc được công nhận; mẫu của chúng tôi chủ yếu là người Kinh). Thứ ba, công cụ tự báo cáo chịu sai lệch do mong muốn xã hội và các chuẩn mực bộc lộ thiên lệch theo giới; nữ có thể sẵn lòng thừa nhận lo âu hơn nam, điều này sẽ phóng đại khác biệt giới quan sát được. Thứ tư, đo lường một thời điểm không bắt được quỹ đạo phát triển — chúng tôi không thể kiểm chứng liệu khác biệt giới xuất hiện, đạt đỉnh, hay phai dần trong cửa sổ tuổi của mẫu. Thứ năm, mặc dù việc đăng ký trước cải thiện tính minh bạch và lập kế hoạch thống kê, bằng chứng thực nghiệm gần đây gợi ý nó có thể không loại bỏ hoàn toàn p-hacking hay HARKing (van den Akker và cs. 2024); do đó chúng tôi bổ sung đăng ký trước bằng các phân tích độ nhạy (Bước 5 trong Phương pháp).</w:t>
      </w:r>
    </w:p>
    <w:p>
      <w:pPr>
        <w:spacing w:before="200" w:after="80"/>
      </w:pPr>
      <w:r>
        <w:rPr>
          <w:rFonts w:ascii="Times New Roman" w:hAnsi="Times New Roman"/>
          <w:b/>
          <w:color w:val="2E74B5"/>
          <w:sz w:val="24"/>
        </w:rPr>
        <w:t>4.6. Future directions / Hướng nghiên cứu tiếp theo</w:t>
      </w:r>
    </w:p>
    <w:p>
      <w:pPr>
        <w:spacing w:after="80"/>
        <w:ind w:firstLine="283"/>
        <w:jc w:val="both"/>
      </w:pPr>
      <w:r>
        <w:rPr>
          <w:rFonts w:ascii="Times New Roman" w:hAnsi="Times New Roman"/>
          <w:sz w:val="22"/>
        </w:rPr>
        <w:t>Three priorities for future research. First, a longitudinal cohort study following the present sample through transition to upper secondary (ages 16-18) and into emerging adulthood (ages 18-22) would test whether the gender gap closes — providing a direct test of the developmental peak hypothesis and a definitive reconciliation with Jefferies &amp; Ungar (2020). Second, replication of the multi-group SEM in rural Vietnamese and ethnic-minority cohorts would test cultural moderation hypotheses. Third, our planned Q4 paper applies latent profile analysis (LPA) to the same cohort to identify person-centered phenotype profiles — complementing the variable-centered findings here with a person-centered typology of Vietnamese adolescent anxiety. A qualitative companion study probing gendered emotional disclosure norms is also planned to illuminate WHY gender pathways differ.</w:t>
      </w:r>
    </w:p>
    <w:p>
      <w:pPr>
        <w:spacing w:after="160"/>
        <w:ind w:firstLine="283" w:left="170"/>
        <w:jc w:val="both"/>
      </w:pPr>
      <w:r>
        <w:rPr>
          <w:rFonts w:ascii="Times New Roman" w:hAnsi="Times New Roman"/>
          <w:i/>
          <w:color w:val="333333"/>
          <w:sz w:val="22"/>
        </w:rPr>
        <w:t>Ba ưu tiên cho nghiên cứu tương lai. Thứ nhất, một nghiên cứu cohort theo dõi mẫu hiện tại qua chuyển tiếp lên trung học phổ thông (16-18 tuổi) và vào giai đoạn đầu trưởng thành (18-22 tuổi) sẽ kiểm chứng xem khoảng cách giới có khép lại không — cung cấp kiểm định trực tiếp giả thuyết đỉnh điểm phát triển và sự lý giải dứt khoát với Jefferies &amp; Ungar (2020). Thứ hai, lặp lại SEM đa nhóm trên các cohort Việt Nam ở nông thôn và dân tộc thiểu số — Khảo sát Sức khỏe Tâm thần Vị thành niên Việt Nam (V-NAMHS; Viện Xã hội học Việt Nam 2022; quy trình: Erskine và cs. 2023) cung cấp một khung so sánh đại diện cấp quốc gia sẽ kiểm chứng các giả thuyết về sự điều tiết bởi văn hóa. Thứ ba, bài Q4 đã lên kế hoạch của chúng tôi áp dụng phân tích hồ sơ tiềm ẩn (LPA) cho cùng cohort để xác định các hồ sơ phân loại lấy con người làm trung tâm — bổ sung cho các phát hiện lấy biến làm trung tâm ở đây bằng một phân loại lấy con người làm trung tâm về lo âu vị thành niên Việt Nam. Một nghiên cứu định tính đồng hành thăm dò các chuẩn mực bộc lộ cảm xúc theo giới cũng đã được lên kế hoạch để làm sáng tỏ VÌ SAO các đường dẫn giới khác nhau.</w:t>
      </w:r>
    </w:p>
    <w:p>
      <w:pPr>
        <w:spacing w:before="320" w:after="160"/>
      </w:pPr>
      <w:r>
        <w:rPr>
          <w:rFonts w:ascii="Times New Roman" w:hAnsi="Times New Roman"/>
          <w:b/>
          <w:color w:val="C00000"/>
          <w:sz w:val="28"/>
        </w:rPr>
        <w:t>5. REFERENCES — TÀI LIỆU THAM KHẢO</w:t>
      </w:r>
    </w:p>
    <w:p>
      <w:pPr>
        <w:spacing w:after="80"/>
        <w:ind w:left="425" w:hanging="425"/>
      </w:pPr>
      <w:r>
        <w:rPr>
          <w:rFonts w:ascii="Times New Roman" w:hAnsi="Times New Roman"/>
          <w:sz w:val="20"/>
        </w:rPr>
        <w:t>[1] Jefferies P, Ungar M. (2020). Social anxiety in young people: A prevalence study in seven countries. PLOS ONE 15(9):e0239133. DOI: 10.1371/journal.pone.0239133.</w:t>
      </w:r>
    </w:p>
    <w:p>
      <w:pPr>
        <w:spacing w:after="80"/>
        <w:ind w:left="425" w:hanging="425"/>
      </w:pPr>
      <w:r>
        <w:rPr>
          <w:rFonts w:ascii="Times New Roman" w:hAnsi="Times New Roman"/>
          <w:sz w:val="20"/>
        </w:rPr>
        <w:t>[2] Hankin BL, Mermelstein R, Roesch L. (2007). Sex differences in adolescent depression: Stress exposure and reactivity models. Child Development 78(1):279-295. PMID: 17328705.</w:t>
      </w:r>
    </w:p>
    <w:p>
      <w:pPr>
        <w:spacing w:after="80"/>
        <w:ind w:left="425" w:hanging="425"/>
      </w:pPr>
      <w:r>
        <w:rPr>
          <w:rFonts w:ascii="Times New Roman" w:hAnsi="Times New Roman"/>
          <w:sz w:val="20"/>
        </w:rPr>
        <w:t>[3] McLean CP, Anderson ER. (2009). Brave men and timid women? A review of the gender differences in fear and anxiety. Clinical Psychology Review 29(6):496-505. PMID: 19541399. DOI: 10.1016/j.cpr.2009.05.003.</w:t>
      </w:r>
    </w:p>
    <w:p>
      <w:pPr>
        <w:spacing w:after="80"/>
        <w:ind w:left="425" w:hanging="425"/>
      </w:pPr>
      <w:r>
        <w:rPr>
          <w:rFonts w:ascii="Times New Roman" w:hAnsi="Times New Roman"/>
          <w:sz w:val="20"/>
        </w:rPr>
        <w:t>[4] Hill JP, Lynch ME. (1983). The intensification of gender-related role expectations during early adolescence. In: Brooks-Gunn J, Petersen AC (eds.), Girls at puberty. New York: Plenum Press, pp. 201-228.</w:t>
      </w:r>
    </w:p>
    <w:p>
      <w:pPr>
        <w:spacing w:after="80"/>
        <w:ind w:left="425" w:hanging="425"/>
      </w:pPr>
      <w:r>
        <w:rPr>
          <w:rFonts w:ascii="Times New Roman" w:hAnsi="Times New Roman"/>
          <w:sz w:val="20"/>
        </w:rPr>
        <w:t>[5] Kessler RC, Berglund P, Demler O, Jin R, Merikangas KR, Walters EE. (2005). Lifetime prevalence and age-of-onset distributions of DSM-IV disorders in the National Comorbidity Survey Replication. Archives of General Psychiatry 62(6):593-602. PMID: 15939837. DOI: 10.1001/archpsyc.62.6.593.</w:t>
      </w:r>
    </w:p>
    <w:p>
      <w:pPr>
        <w:spacing w:after="80"/>
        <w:ind w:left="425" w:hanging="425"/>
      </w:pPr>
      <w:r>
        <w:rPr>
          <w:rFonts w:ascii="Times New Roman" w:hAnsi="Times New Roman"/>
          <w:sz w:val="20"/>
        </w:rPr>
        <w:t>[6] Rose AJ. (2002). Co-rumination in the friendships of girls and boys. Child Development 73(6):1830-1843. PMID: 12487497. DOI: 10.1111/1467-8624.00509.</w:t>
      </w:r>
    </w:p>
    <w:p>
      <w:pPr>
        <w:spacing w:after="80"/>
        <w:ind w:left="425" w:hanging="425"/>
      </w:pPr>
      <w:r>
        <w:rPr>
          <w:rFonts w:ascii="Times New Roman" w:hAnsi="Times New Roman"/>
          <w:sz w:val="20"/>
        </w:rPr>
        <w:t>[7] Stankov L. (2010). Unforgiving Confucian culture: A breeding ground for high academic achievement, test anxiety and self-doubt? Learning and Individual Differences 20(6):555-563. DOI: 10.1016/j.lindif.2010.05.003.</w:t>
      </w:r>
    </w:p>
    <w:p>
      <w:pPr>
        <w:spacing w:after="80"/>
        <w:ind w:left="425" w:hanging="425"/>
      </w:pPr>
      <w:r>
        <w:rPr>
          <w:rFonts w:ascii="Times New Roman" w:hAnsi="Times New Roman"/>
          <w:sz w:val="20"/>
        </w:rPr>
        <w:t>[8] Small S, Blanc J. (2021). Mental Health During COVID-19: Tam Giao and Vietnam's Response. Frontiers in Psychiatry 11:589618. PMID: 33536961. DOI: 10.3389/fpsyt.2020.589618.</w:t>
      </w:r>
    </w:p>
    <w:p>
      <w:pPr>
        <w:spacing w:after="80"/>
        <w:ind w:left="425" w:hanging="425"/>
      </w:pPr>
      <w:r>
        <w:rPr>
          <w:rFonts w:ascii="Times New Roman" w:hAnsi="Times New Roman"/>
          <w:sz w:val="20"/>
        </w:rPr>
        <w:t>[9] Cheung GW, Rensvold RB. (2002). Evaluating goodness-of-fit indexes for testing measurement invariance. Structural Equation Modeling 9(2):233-255.</w:t>
      </w:r>
    </w:p>
    <w:p>
      <w:pPr>
        <w:spacing w:after="80"/>
        <w:ind w:left="425" w:hanging="425"/>
      </w:pPr>
      <w:r>
        <w:rPr>
          <w:rFonts w:ascii="Times New Roman" w:hAnsi="Times New Roman"/>
          <w:sz w:val="20"/>
        </w:rPr>
        <w:t>[10] Chen FF. (2007). Sensitivity of goodness of fit indexes to lack of measurement invariance. Structural Equation Modeling 14(3):464-504.</w:t>
      </w:r>
    </w:p>
    <w:p>
      <w:pPr>
        <w:spacing w:after="80"/>
        <w:ind w:left="425" w:hanging="425"/>
      </w:pPr>
      <w:r>
        <w:rPr>
          <w:rFonts w:ascii="Times New Roman" w:hAnsi="Times New Roman"/>
          <w:sz w:val="20"/>
        </w:rPr>
        <w:t>[11] Hu LT, Bentler PM. (1999). Cutoff criteria for fit indexes in covariance structure analysis: Conventional criteria versus new alternatives. Structural Equation Modeling 6(1):1-55.</w:t>
      </w:r>
    </w:p>
    <w:p>
      <w:pPr>
        <w:spacing w:after="80"/>
        <w:ind w:left="425" w:hanging="425"/>
      </w:pPr>
      <w:r>
        <w:rPr>
          <w:rFonts w:ascii="Times New Roman" w:hAnsi="Times New Roman"/>
          <w:sz w:val="20"/>
        </w:rPr>
        <w:t>[12] Compas BE, Jaser SS, Bettis AH, et al. (2017). Coping, emotion regulation, and psychopathology in childhood and adolescence: A meta-analysis and narrative review. Psychological Bulletin 143(9):939-991. PMID: 28616996. DOI: 10.1037/bul0000110.</w:t>
      </w:r>
    </w:p>
    <w:p>
      <w:pPr>
        <w:spacing w:after="80"/>
        <w:ind w:left="425" w:hanging="425"/>
      </w:pPr>
      <w:r>
        <w:rPr>
          <w:rFonts w:ascii="Times New Roman" w:hAnsi="Times New Roman"/>
          <w:sz w:val="20"/>
        </w:rPr>
        <w:t>[13] Chorpita BF, Yim L, Moffitt C, Umemoto LA, Francis SE. (2000). Assessment of symptoms of DSM-IV anxiety and depression in children: A revised child anxiety and depression scale. Behaviour Research and Therapy 38(8):835-855. PMID: 10937431.</w:t>
      </w:r>
    </w:p>
    <w:p>
      <w:pPr>
        <w:spacing w:after="80"/>
        <w:ind w:left="425" w:hanging="425"/>
      </w:pPr>
      <w:r>
        <w:rPr>
          <w:rFonts w:ascii="Times New Roman" w:hAnsi="Times New Roman"/>
          <w:sz w:val="20"/>
        </w:rPr>
        <w:t>[14] Olweus D. (1996). The Revised Olweus Bully/Victim Questionnaire. University of Bergen, Norway.</w:t>
      </w:r>
    </w:p>
    <w:p>
      <w:pPr>
        <w:spacing w:after="80"/>
        <w:ind w:left="425" w:hanging="425"/>
      </w:pPr>
      <w:r>
        <w:rPr>
          <w:rFonts w:ascii="Times New Roman" w:hAnsi="Times New Roman"/>
          <w:sz w:val="20"/>
        </w:rPr>
        <w:t>[15] Sun J, Dunne MP, Hou XY, Xu AQ. (2011). Educational stress scale for adolescents: Development, validity, and reliability with Chinese students. Journal of Psychoeducational Assessment 29(6):534-546.</w:t>
      </w:r>
    </w:p>
    <w:p>
      <w:pPr>
        <w:spacing w:after="80"/>
        <w:ind w:left="425" w:hanging="425"/>
      </w:pPr>
      <w:r>
        <w:rPr>
          <w:rFonts w:ascii="Times New Roman" w:hAnsi="Times New Roman"/>
          <w:sz w:val="20"/>
        </w:rPr>
        <w:t>[16] Kwon M, Kim DJ, Cho H, Yang S. (2013). The smartphone addiction scale: Development and validation of a short version for adolescents. PLOS ONE 8(12):e83558. PMID: 24391787.</w:t>
      </w:r>
    </w:p>
    <w:p>
      <w:pPr>
        <w:spacing w:after="80"/>
        <w:ind w:left="425" w:hanging="425"/>
      </w:pPr>
      <w:r>
        <w:rPr>
          <w:rFonts w:ascii="Times New Roman" w:hAnsi="Times New Roman"/>
          <w:sz w:val="20"/>
        </w:rPr>
        <w:t>[17] Goodenow C. (1993). The psychological sense of school membership among adolescents: Scale development and educational correlates. Psychology in the Schools 30(1):79-90.</w:t>
      </w:r>
    </w:p>
    <w:p>
      <w:pPr>
        <w:spacing w:after="80"/>
        <w:ind w:left="425" w:hanging="425"/>
      </w:pPr>
      <w:r>
        <w:rPr>
          <w:rFonts w:ascii="Times New Roman" w:hAnsi="Times New Roman"/>
          <w:sz w:val="20"/>
        </w:rPr>
        <w:t>[18] Zimet GD, Dahlem NW, Zimet SG, Farley GK. (1988). The Multidimensional Scale of Perceived Social Support. Journal of Personality Assessment 52(1):30-41.</w:t>
      </w:r>
    </w:p>
    <w:p>
      <w:pPr>
        <w:spacing w:after="80"/>
        <w:ind w:left="425" w:hanging="425"/>
      </w:pPr>
      <w:r>
        <w:rPr>
          <w:rFonts w:ascii="Times New Roman" w:hAnsi="Times New Roman"/>
          <w:sz w:val="20"/>
        </w:rPr>
        <w:t>[19] Rosenberg M. (1965). Society and the adolescent self-image. Princeton University Press.</w:t>
      </w:r>
    </w:p>
    <w:p>
      <w:pPr>
        <w:spacing w:after="80"/>
        <w:ind w:left="425" w:hanging="425"/>
      </w:pPr>
      <w:r>
        <w:rPr>
          <w:rFonts w:ascii="Times New Roman" w:hAnsi="Times New Roman"/>
          <w:sz w:val="20"/>
        </w:rPr>
        <w:t>[20] Bie F, Yan X, Xing J, et al. Rising global burden of anxiety disorders among adolescents and young adults: trends, risk factors, and the impact of socioeconomic disparities and COVID-19 from 1990 to 2021. Front Psychiatry. 2024;15:1489427. PMID: 39691785. DOI: 10.3389/fpsyt.2024.1489427.</w:t>
      </w:r>
    </w:p>
    <w:p>
      <w:pPr>
        <w:spacing w:after="80"/>
        <w:ind w:left="425" w:hanging="425"/>
      </w:pPr>
      <w:r>
        <w:rPr>
          <w:rFonts w:ascii="Times New Roman" w:hAnsi="Times New Roman"/>
          <w:sz w:val="20"/>
        </w:rPr>
        <w:t>[21] Salari N, Heidarian P, Hassanabadi M, et al. Global Prevalence of Social Anxiety Disorder in Children, Adolescents and Youth: A Systematic Review and Meta-analysis. J Prev. 2024;45(5):795-813. PMID: 38852119. DOI: 10.1007/s10935-024-00789-9.</w:t>
      </w:r>
    </w:p>
    <w:p>
      <w:pPr>
        <w:spacing w:after="80"/>
        <w:ind w:left="425" w:hanging="425"/>
      </w:pPr>
      <w:r>
        <w:rPr>
          <w:rFonts w:ascii="Times New Roman" w:hAnsi="Times New Roman"/>
          <w:sz w:val="20"/>
        </w:rPr>
        <w:t>[22] Erskine HE, Blondell SJ, Enright ME, et al. Measuring the Prevalence of Mental Disorders in Adolescents in Kenya, Indonesia, and Vietnam: Study Protocol for the National Adolescent Mental Health Surveys. J Adolesc Health. 2023;72(1S):S71-S78. PMID: 36229399. DOI: 10.1016/j.jadohealth.2021.05.012.</w:t>
      </w:r>
    </w:p>
    <w:p>
      <w:pPr>
        <w:spacing w:after="80"/>
        <w:ind w:left="425" w:hanging="425"/>
      </w:pPr>
      <w:r>
        <w:rPr>
          <w:rFonts w:ascii="Times New Roman" w:hAnsi="Times New Roman"/>
          <w:sz w:val="20"/>
        </w:rPr>
        <w:t>[23] Pham TTH, Do TT, Nguyen TL, Ngo AV. Anxiety symptoms and coping strategies among high school students in Vietnam after COVID-19 pandemic: a mixed-method evaluation. Front Public Health. 2024;12:1232856. PMID: 38435293. DOI: 10.3389/fpubh.2024.1232856.</w:t>
      </w:r>
    </w:p>
    <w:p>
      <w:pPr>
        <w:spacing w:after="80"/>
        <w:ind w:left="425" w:hanging="425"/>
      </w:pPr>
      <w:r>
        <w:rPr>
          <w:rFonts w:ascii="Times New Roman" w:hAnsi="Times New Roman"/>
          <w:sz w:val="20"/>
        </w:rPr>
        <w:t>[24] Nguyen HTT, Tran BX, Luu HN, et al. Prevalence of depressive symptoms among urban school adolescents in Vietnam: The role of youth, family, and school relationships. J Epidemiol Popul Health. 2024;72(5):202758. PMID: 39098167. DOI: 10.1016/j.jeph.2024.202758.</w:t>
      </w:r>
    </w:p>
    <w:p>
      <w:pPr>
        <w:spacing w:after="80"/>
        <w:ind w:left="425" w:hanging="425"/>
      </w:pPr>
      <w:r>
        <w:rPr>
          <w:rFonts w:ascii="Times New Roman" w:hAnsi="Times New Roman"/>
          <w:sz w:val="20"/>
        </w:rPr>
        <w:t>[25] Vietnam Institute of Sociology, University of Queensland, Johns Hopkins Bloomberg School of Public Health. Viet Nam Adolescent Mental Health Survey (V-NAMHS): Report on Main Findings. Hanoi: Institute of Sociology; 2022. Available at: https://publichealth.jhu.edu/sites/default/files/2025-05/VNAMHS-Report_Eng_16-Nov-2022.pdf</w:t>
      </w:r>
    </w:p>
    <w:p>
      <w:pPr>
        <w:spacing w:after="80"/>
        <w:ind w:left="425" w:hanging="425"/>
      </w:pPr>
      <w:r>
        <w:rPr>
          <w:rFonts w:ascii="Times New Roman" w:hAnsi="Times New Roman"/>
          <w:sz w:val="20"/>
        </w:rPr>
        <w:t>[26] Schlechter P, Hillmann M, Neufeld SAS. Gender, age, and longitudinal measurement invariance of child and adolescent depression scales: A systematic review. Clin Psychol Rev. 2024;113:102481. PMID: 39168055. DOI: 10.1016/j.cpr.2024.102481.</w:t>
      </w:r>
    </w:p>
    <w:p>
      <w:pPr>
        <w:spacing w:after="80"/>
        <w:ind w:left="425" w:hanging="425"/>
      </w:pPr>
      <w:r>
        <w:rPr>
          <w:rFonts w:ascii="Times New Roman" w:hAnsi="Times New Roman"/>
          <w:sz w:val="20"/>
        </w:rPr>
        <w:t>[27] Cervin M, Veas A, Piqueras JA, Martínez-González AE. A multi-group confirmatory factor analysis of the revised children's anxiety and depression scale (RCADS) in Spain, Chile and Sweden. J Affect Disord. 2022;310:228-234. PMID: 35561880. DOI: 10.1016/j.jad.2022.05.031.</w:t>
      </w:r>
    </w:p>
    <w:p>
      <w:pPr>
        <w:spacing w:after="80"/>
        <w:ind w:left="425" w:hanging="425"/>
      </w:pPr>
      <w:r>
        <w:rPr>
          <w:rFonts w:ascii="Times New Roman" w:hAnsi="Times New Roman"/>
          <w:sz w:val="20"/>
        </w:rPr>
        <w:t>[28] Sideridis G, Alghamdi MH. Bullying in middle school: Evidence for a multidimensional structure and measurement invariance across gender. Children (Basel). 2023;10(5):873. PMID: 37238421. DOI: 10.3390/children10050873.</w:t>
      </w:r>
    </w:p>
    <w:p>
      <w:pPr>
        <w:spacing w:after="80"/>
        <w:ind w:left="425" w:hanging="425"/>
      </w:pPr>
      <w:r>
        <w:rPr>
          <w:rFonts w:ascii="Times New Roman" w:hAnsi="Times New Roman"/>
          <w:sz w:val="20"/>
        </w:rPr>
        <w:t>[29] Appelbaum M, Cooper H, Kline RB, Mayo-Wilson E, Nezu AM, Rao SM. Journal article reporting standards for quantitative research in psychology: The APA Publications and Communications Board task force report. Am Psychol. 2018;73(1):3-25. PMID: 29345484. DOI: 10.1037/amp0000191.</w:t>
      </w:r>
    </w:p>
    <w:p>
      <w:pPr>
        <w:spacing w:after="80"/>
        <w:ind w:left="425" w:hanging="425"/>
      </w:pPr>
      <w:r>
        <w:rPr>
          <w:rFonts w:ascii="Times New Roman" w:hAnsi="Times New Roman"/>
          <w:sz w:val="20"/>
        </w:rPr>
        <w:t>[30] Nosek BA, Ebersole CR, DeHaven AC, Mellor DT. The preregistration revolution. Proc Natl Acad Sci USA. 2018;115(11):2600-2606. PMID: 29531091. DOI: 10.1073/pnas.1708274114.</w:t>
      </w:r>
    </w:p>
    <w:p>
      <w:pPr>
        <w:spacing w:after="80"/>
        <w:ind w:left="425" w:hanging="425"/>
      </w:pPr>
      <w:r>
        <w:rPr>
          <w:rFonts w:ascii="Times New Roman" w:hAnsi="Times New Roman"/>
          <w:sz w:val="20"/>
        </w:rPr>
        <w:t>[31] van den Akker OR, van Assen MALM, Bakker M, et al. Preregistration in practice: A comparison of preregistered and non-preregistered studies in psychology. Behav Res Methods. 2024;56(6):5424-5433. PMID: 37950113. DOI: 10.3758/s13428-023-02277-0.</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dc:identifier/>
  <cp:version/>
</cp:coreProperties>
</file>