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Hang¹*, Dao Minh Duc¹, Nguyen Minh Duc²†</w:t>
      </w:r>
    </w:p>
    <w:p>
      <w:pPr>
        <w:jc w:val="center"/>
      </w:pPr>
      <w:r>
        <w:rPr>
          <w:rFonts w:ascii="Times New Roman" w:hAnsi="Times New Roman"/>
          <w:i/>
          <w:color w:val="808080"/>
          <w:sz w:val="20"/>
        </w:rPr>
        <w:t>¹ Faculty of Psychology and Education, Hanoi National University of Education, Hanoi, Vietnam | ² [Affiliation TBD — confirm with Nguyen Minh Duc] | * Correspondence: hangct@hnue.edu.vn | † Senior author</w:t>
      </w:r>
    </w:p>
    <w:p>
      <w:pPr>
        <w:jc w:val="center"/>
      </w:pPr>
      <w:r>
        <w:rPr>
          <w:rFonts w:ascii="Times New Roman" w:hAnsi="Times New Roman"/>
          <w:i/>
          <w:color w:val="808080"/>
          <w:sz w:val="20"/>
        </w:rPr>
        <w:t>Target journal: Journal of Psychopathology and Behavioral Assessment OR BMC Psychiatry</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Recent Vietnamese cohort data confirm a substantial burden: 40.6% anxiety prevalence in 3,910 Hanoi high school students (Pham et al. 2024), aligned with national survey estimates (Viet Nam Adolescent Mental Health Survey 2022; Erskine et al. 2023).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Dữ liệu cohort Việt Nam gần đây xác nhận gánh nặng đáng kể: 40,6% tỷ lệ lo âu ở 3.910 học sinh trung học phổ thông Hà Nội (Pham và cs. 2024), tương đồng với ước tính khảo sát cấp quốc gia (Khảo sát Sức khỏe Tâm thần Vị thành niên Việt Nam 2022; Erskine và cs. 2023).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 While the Viet Nam Adolescent Mental Health Survey (V-NAMHS; Vietnam Institute of Sociology 2022) provides nationally-representative prevalence estimates, no published LPA study has identified phenotype profiles in Vietnamese youth.</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này. Mặc dù Khảo sát Sức khỏe Tâm thần Vị thành niên Việt Nam (V-NAMHS; Viện Xã hội học Việt Nam 2022) cung cấp các ước tính tỷ lệ lưu hành đại diện cấp quốc gia, chưa có nghiên cứu LPA nào công bố nhận diện các hồ sơ phân loại ở thanh thiếu niên Việt Nam.</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Reporting follows APA JARS-Quant standards (Appelbaum et al. 2018). Pre-registration of the analytic procedure (not specific profile predictions, since LPA is exploratory) follows the framework of Nosek et al. (2018).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Báo cáo tuân thủ chuẩn APA JARS-Quant (Appelbaum và cs. 2018). Đăng ký trước cho quy trình phân tích (không phải dự đoán hồ sơ cụ thể, vì LPA là thám sát) tuân theo khung của Nosek và cs. (2018).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 Fifth, even with preregistration of the analytic procedure, recent evidence indicates that preregistration alone does not fully prevent selective reporting (van den Akker et al. 2024); we therefore commit to transparent reporting of all K = 2-6 solutions in supplementary materials.</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 Thứ năm, mặc dù đăng ký trước quy trình phân tích, bằng chứng gần đây chỉ ra đăng ký trước một mình không ngăn chặn hoàn toàn báo cáo lựa chọn (van den Akker và cs. 2024); do đó chúng tôi cam kết báo cáo minh bạch tất cả các giải pháp K = 2-6 trong tài liệu bổ sung.</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p>
      <w:pPr>
        <w:spacing w:after="80"/>
        <w:ind w:left="425" w:hanging="425"/>
      </w:pPr>
      <w:r>
        <w:rPr>
          <w:rFonts w:ascii="Times New Roman" w:hAnsi="Times New Roman"/>
          <w:sz w:val="20"/>
        </w:rPr>
        <w:t>[14] Bie F, Yan X, Xing J, et al. Rising global burden of anxiety disorders among adolescents and young adults: trends, risk factors, and the impact of socioeconomic disparities and COVID-19 from 1990 to 2021. Front Psychiatry. 2024;15:1489427. PMID: 39691785. DOI: 10.3389/fpsyt.2024.1489427.</w:t>
      </w:r>
    </w:p>
    <w:p>
      <w:pPr>
        <w:spacing w:after="80"/>
        <w:ind w:left="425" w:hanging="425"/>
      </w:pPr>
      <w:r>
        <w:rPr>
          <w:rFonts w:ascii="Times New Roman" w:hAnsi="Times New Roman"/>
          <w:sz w:val="20"/>
        </w:rPr>
        <w:t>[15] Salari N, Heidarian P, Hassanabadi M, et al. Global Prevalence of Social Anxiety Disorder in Children, Adolescents and Youth: A Systematic Review and Meta-analysis. J Prev. 2024;45(5):795-813. PMID: 38852119. DOI: 10.1007/s10935-024-00789-9.</w:t>
      </w:r>
    </w:p>
    <w:p>
      <w:pPr>
        <w:spacing w:after="80"/>
        <w:ind w:left="425" w:hanging="425"/>
      </w:pPr>
      <w:r>
        <w:rPr>
          <w:rFonts w:ascii="Times New Roman" w:hAnsi="Times New Roman"/>
          <w:sz w:val="20"/>
        </w:rPr>
        <w:t>[16] Erskine HE, Blondell SJ, Enright ME, et al. Measuring the Prevalence of Mental Disorders in Adolescents in Kenya, Indonesia, and Vietnam: Study Protocol for the National Adolescent Mental Health Surveys. J Adolesc Health. 2023;72(1S):S71-S78. PMID: 36229399. DOI: 10.1016/j.jadohealth.2021.05.012.</w:t>
      </w:r>
    </w:p>
    <w:p>
      <w:pPr>
        <w:spacing w:after="80"/>
        <w:ind w:left="425" w:hanging="425"/>
      </w:pPr>
      <w:r>
        <w:rPr>
          <w:rFonts w:ascii="Times New Roman" w:hAnsi="Times New Roman"/>
          <w:sz w:val="20"/>
        </w:rPr>
        <w:t>[17] Pham TTH, Do TT, Nguyen TL, Ngo AV. Anxiety symptoms and coping strategies among high school students in Vietnam after COVID-19 pandemic: a mixed-method evaluation. Front Public Health. 2024;12:1232856. PMID: 38435293. DOI: 10.3389/fpubh.2024.1232856.</w:t>
      </w:r>
    </w:p>
    <w:p>
      <w:pPr>
        <w:spacing w:after="80"/>
        <w:ind w:left="425" w:hanging="425"/>
      </w:pPr>
      <w:r>
        <w:rPr>
          <w:rFonts w:ascii="Times New Roman" w:hAnsi="Times New Roman"/>
          <w:sz w:val="20"/>
        </w:rPr>
        <w:t>[18] Vietnam Institute of Sociology, University of Queensland, Johns Hopkins Bloomberg School of Public Health. Viet Nam Adolescent Mental Health Survey (V-NAMHS): Report on Main Findings. Hanoi: Institute of Sociology; 2022. Available at: https://publichealth.jhu.edu/sites/default/files/2025-05/VNAMHS-Report_Eng_16-Nov-2022.pdf</w:t>
      </w:r>
    </w:p>
    <w:p>
      <w:pPr>
        <w:spacing w:after="80"/>
        <w:ind w:left="425" w:hanging="425"/>
      </w:pPr>
      <w:r>
        <w:rPr>
          <w:rFonts w:ascii="Times New Roman" w:hAnsi="Times New Roman"/>
          <w:sz w:val="20"/>
        </w:rPr>
        <w:t>[19] Appelbaum M, Cooper H, Kline RB, Mayo-Wilson E, Nezu AM, Rao SM. Journal article reporting standards for quantitative research in psychology: The APA Publications and Communications Board task force report. Am Psychol. 2018;73(1):3-25. PMID: 29345484. DOI: 10.1037/amp0000191.</w:t>
      </w:r>
    </w:p>
    <w:p>
      <w:pPr>
        <w:spacing w:after="80"/>
        <w:ind w:left="425" w:hanging="425"/>
      </w:pPr>
      <w:r>
        <w:rPr>
          <w:rFonts w:ascii="Times New Roman" w:hAnsi="Times New Roman"/>
          <w:sz w:val="20"/>
        </w:rPr>
        <w:t>[20] Nosek BA, Ebersole CR, DeHaven AC, Mellor DT. The preregistration revolution. Proc Natl Acad Sci USA. 2018;115(11):2600-2606. PMID: 29531091. DOI: 10.1073/pnas.1708274114.</w:t>
      </w:r>
    </w:p>
    <w:p>
      <w:pPr>
        <w:spacing w:after="80"/>
        <w:ind w:left="425" w:hanging="425"/>
      </w:pPr>
      <w:r>
        <w:rPr>
          <w:rFonts w:ascii="Times New Roman" w:hAnsi="Times New Roman"/>
          <w:sz w:val="20"/>
        </w:rPr>
        <w:t>[21] van den Akker OR, van Assen MALM, Bakker M, et al. Preregistration in practice: A comparison of preregistered and non-preregistered studies in psychology. Behav Res Methods. 2024;56(6):5424-5433. PMID: 37950113. DOI: 10.3758/s13428-023-02277-0.</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