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BB06 — Nakie et al. (2022): Tỷ lệ và yếu tố liên quan đến trầm cảm, lo âu, stress ở học sinh trung học Tây Bắc Ethiopia</w:t>
      </w:r>
    </w:p>
    <w:p>
      <w:r>
        <w:rPr>
          <w:b/>
          <w:sz w:val="24"/>
        </w:rPr>
        <w:t>Thông tin xuất bản</w:t>
      </w:r>
    </w:p>
    <w:p>
      <w:pPr>
        <w:spacing w:line="360" w:lineRule="auto"/>
      </w:pPr>
      <w:r>
        <w:t>Tác giả: Girum Nakie, Tesfaye Segon, Mamaru Melkam, Getachew Tesfaw Desalegn, Tadele Amare Zeleke (Khoa Tâm thần, Trường Y và Khoa học Sức khỏe, Đại học Gondar, Ethiopia).</w:t>
      </w:r>
    </w:p>
    <w:p>
      <w:pPr>
        <w:spacing w:line="360" w:lineRule="auto"/>
      </w:pPr>
      <w:r>
        <w:t>Tên bài: Prevalence and associated factors of depression, anxiety, and stress among high school students in, Northwest Ethiopia, 2021.</w:t>
      </w:r>
    </w:p>
    <w:p>
      <w:pPr>
        <w:spacing w:line="360" w:lineRule="auto"/>
      </w:pPr>
      <w:r>
        <w:t>Tạp chí: BMC Psychiatry, năm 2022, tập 22, bài 739.</w:t>
      </w:r>
    </w:p>
    <w:p>
      <w:pPr>
        <w:spacing w:line="360" w:lineRule="auto"/>
      </w:pPr>
      <w:r>
        <w:t>DOI: 10.1186/s12888-022-04393-1.</w:t>
      </w:r>
    </w:p>
    <w:p>
      <w:pPr>
        <w:spacing w:line="360" w:lineRule="auto"/>
      </w:pPr>
      <w:r>
        <w:t>Loại bài: Research, cắt ngang.</w:t>
      </w:r>
    </w:p>
    <w:p>
      <w:pPr>
        <w:spacing w:line="360" w:lineRule="auto"/>
      </w:pPr>
      <w:r>
        <w:t>Đường dẫn PDF: 02_Papers-goc/The-gioi_Khac/QT006_Nakie_et_al_2022_Ethiopia.pdf.</w:t>
      </w:r>
    </w:p>
    <w:p>
      <w:r>
        <w:rPr>
          <w:b/>
          <w:sz w:val="24"/>
        </w:rPr>
        <w:t>Tóm tắt (~150 từ)</w:t>
      </w:r>
    </w:p>
    <w:p>
      <w:pPr>
        <w:spacing w:line="360" w:lineRule="auto"/>
      </w:pPr>
      <w:r>
        <w:t>Nghiên cứu cắt ngang tại sáu trường trung học công lập vùng Tây Bắc Ethiopia (Adet, Selamber, Densa Bata, Debre Mewi, Agita, Gosheye) tháng 4/2021, sử dụng DASS-21 đo trầm cảm, lo âu, stress. Mẫu phân tầng đa giai đoạn, ngẫu nhiên đơn giản trong từng tầng, N = 849 (tỷ lệ trả lời 96,1% — 810 hoàn chỉnh). Kết quả: trầm cảm 41,4% (95% CI 38,0–44,8); lo âu 66,7% (66,4–66,9); stress 52,2% (49,1–56,0). Hồi quy logistic đa biến: nữ, nghiện khat nguy cơ cao và mắc social phobia liên quan trầm cảm; hút thuốc lá nguy cơ cao, bệnh mạn tính kèm theo và tiền sử gia đình rối loạn tâm thần liên quan lo âu; uống rượu nguy cơ cao, cư trú nông thôn và hỗ trợ xã hội thấp liên quan stress. Đây là một trong những nghiên cứu DAS đầu tiên trên học sinh trung học châu Phi.</w:t>
      </w:r>
    </w:p>
    <w:p>
      <w:r>
        <w:rPr>
          <w:b/>
          <w:sz w:val="24"/>
        </w:rPr>
        <w:t>Bối cảnh / Mục tiêu</w:t>
      </w:r>
    </w:p>
    <w:p>
      <w:pPr>
        <w:spacing w:line="360" w:lineRule="auto"/>
      </w:pPr>
      <w:r>
        <w:t>Trầm cảm, lo âu và stress (DAS) trên học sinh ảnh hưởng đến học tập, gây bỏ học. Theo Royal Society for Public Health, vấn đề tăng 70% trong 25 năm qua ở thanh thiếu niên. Các nghiên cứu trước cho thấy tỷ lệ DAS rất khác nhau giữa các vùng: Malaysia (DASS-21): trầm cảm 39,7%, lo âu 67,1%, stress 44,9%; Iraq (Baghdad, DASS-42): 29,4%/40,6%/51,1%; Trung Quốc COVID-19 (PHQ-9/GAD-7): trầm cảm 43,7%, lo âu 37,4%; Ấn Độ Manipur (DAS): 19,5%/24,4%/21,1% — Chandigarh: 65,5%/80,9%/47,0%. Ở Ethiopia, một nghiên cứu trên 265 sinh viên Đại học Arsi (DASS): 52,3%/60,8%/40,4%. Nhóm tác giả khẳng định KHÔNG có nghiên cứu DAS nào trên học sinh trung học ở châu Phi tại thời điểm bài này. Mục tiêu: đánh giá tỷ lệ DAS và các yếu tố liên quan ở học sinh trung học Tây Bắc Ethiopia.</w:t>
      </w:r>
    </w:p>
    <w:p>
      <w:r>
        <w:rPr>
          <w:b/>
          <w:sz w:val="24"/>
        </w:rPr>
        <w:t>Phương pháp</w:t>
      </w:r>
    </w:p>
    <w:p>
      <w:pPr>
        <w:spacing w:line="360" w:lineRule="auto"/>
      </w:pPr>
      <w:r>
        <w:t>Thiết kế: cắt ngang dựa tại trường.</w:t>
      </w:r>
    </w:p>
    <w:p>
      <w:pPr>
        <w:spacing w:line="360" w:lineRule="auto"/>
      </w:pPr>
      <w:r>
        <w:t>Địa điểm: 6 trường công lập vùng Amhara, Tây Bắc Ethiopia. Vùng có dân số 214.852 (đa số Amhara, đa số Chính thống giáo, ~9% sống tại thành phố).</w:t>
      </w:r>
    </w:p>
    <w:p>
      <w:pPr>
        <w:spacing w:line="360" w:lineRule="auto"/>
      </w:pPr>
      <w:r>
        <w:t>Thời gian: tháng 4/2021.</w:t>
      </w:r>
    </w:p>
    <w:p>
      <w:pPr>
        <w:spacing w:line="360" w:lineRule="auto"/>
      </w:pPr>
      <w:r>
        <w:t>Cỡ mẫu: theo công thức một quần thể với p = 52,3% (trầm cảm), CI 95%, sai số 5% → 383; nhân với 2 do đa tầng → 766; cộng 10% không phản hồi → 843. Mẫu mục tiêu cuối: 843; thực tế đưa vào phân tích: 810 (tỷ lệ trả lời 96,1%).</w:t>
      </w:r>
    </w:p>
    <w:p>
      <w:pPr>
        <w:spacing w:line="360" w:lineRule="auto"/>
      </w:pPr>
      <w:r>
        <w:t>Chọn mẫu: phân tầng đa giai đoạn — chọn ngẫu nhiên 6 trường; phân bổ tỷ lệ theo quy mô trường; phân bổ tiếp theo khối lớp (9–12); chọn ngẫu nhiên đơn giản trong từng tầng theo số ID.</w:t>
      </w:r>
    </w:p>
    <w:p>
      <w:pPr>
        <w:spacing w:line="360" w:lineRule="auto"/>
      </w:pPr>
      <w:r>
        <w:t>Công cụ: DASS-21 (đã được chuyển ngữ tiếng Amharic, back-translation; Cronbach α: trầm cảm 0,81, lo âu 0,89, stress 0,78; pretest trên 42 học sinh α: 0,72/0,84/0,87). Điểm × 2; ngưỡng nhị phân: trầm cảm ≥ 10, lo âu ≥ 8, stress ≥ 15. SPIN cho social phobia (cut-off ≥ 20), Oslo-3 cho hỗ trợ xã hội, ASSIST của WHO cho sử dụng chất.</w:t>
      </w:r>
    </w:p>
    <w:p>
      <w:pPr>
        <w:spacing w:line="360" w:lineRule="auto"/>
      </w:pPr>
      <w:r>
        <w:t>Phân tích: EpiData 4.2.02 + SPSS 25; hồi quy logistic nhị phân; biến p &lt; 0,2 bivariate vào multivariate; AOR với CI 95%.</w:t>
      </w:r>
    </w:p>
    <w:p>
      <w:r>
        <w:rPr>
          <w:b/>
          <w:sz w:val="24"/>
        </w:rPr>
        <w:t>Phát hiện chính (số liệu chính xác trích từ PDF)</w:t>
      </w:r>
    </w:p>
    <w:p>
      <w:pPr>
        <w:spacing w:line="360" w:lineRule="auto"/>
      </w:pPr>
      <w:r>
        <w:t>ĐẶC ĐIỂM MẪU (N = 810): tuổi trung bình 18,59 ± 1,79 (15–25); 66,3% trong nhóm 15–19; nữ 52,7%; cư trú nông thôn 70,5%; sống cùng cả hai cha mẹ 77,9%.</w:t>
      </w:r>
    </w:p>
    <w:p>
      <w:pPr>
        <w:spacing w:line="360" w:lineRule="auto"/>
      </w:pPr>
      <w:r>
        <w:t>LÂM SÀNG: social phobia 37,3%; tiền sử gia đình rối loạn tâm thần 11,2%; bệnh mạn tính 6,3%; ý tưởng tự sát suốt đời 9,8%; toan tự sát 4,2%.</w:t>
      </w:r>
    </w:p>
    <w:p>
      <w:pPr>
        <w:spacing w:line="360" w:lineRule="auto"/>
      </w:pPr>
      <w:r>
        <w:t>SỬ DỤNG CHẤT: từng uống rượu 46,5%; từng nhai khat 10,1%; từng hút thuốc 7,5%. Nguy cơ cao uống rượu 8,3%.</w:t>
      </w:r>
    </w:p>
    <w:p>
      <w:pPr>
        <w:spacing w:line="360" w:lineRule="auto"/>
      </w:pPr>
      <w:r>
        <w:t>TỶ LỆ DAS:</w:t>
      </w:r>
    </w:p>
    <w:p>
      <w:pPr>
        <w:spacing w:line="360" w:lineRule="auto"/>
      </w:pPr>
      <w:r>
        <w:t>Trầm cảm 41,4% (95% CI 38,0–44,8). Phân bố: nhẹ 13,5% (109), vừa 15,3% (124), nặng 8,0% (65), cực nặng 4,6% (37).</w:t>
      </w:r>
    </w:p>
    <w:p>
      <w:pPr>
        <w:spacing w:line="360" w:lineRule="auto"/>
      </w:pPr>
      <w:r>
        <w:t>Lo âu 66,7% (95% CI 66,4–66,9).</w:t>
      </w:r>
    </w:p>
    <w:p>
      <w:pPr>
        <w:spacing w:line="360" w:lineRule="auto"/>
      </w:pPr>
      <w:r>
        <w:t>Stress 52,2% (95% CI 49,1–56,0). Phân bố stress: nhẹ 14,4% (117), vừa 24,3% (197), nặng 12,1% (98), cực nặng 1,7% (14).</w:t>
      </w:r>
    </w:p>
    <w:p>
      <w:pPr>
        <w:spacing w:line="360" w:lineRule="auto"/>
      </w:pPr>
      <w:r>
        <w:t>HỒI QUY LOGISTIC ĐA BIẾN:</w:t>
      </w:r>
    </w:p>
    <w:p>
      <w:pPr>
        <w:spacing w:line="360" w:lineRule="auto"/>
      </w:pPr>
      <w:r>
        <w:t>Trầm cảm: nữ AOR = 1,304 (95% CI 1,006–1,849); nhai khat nguy cơ cao AOR = 5,595 (2,357–11,132); social phobia AOR = 1,416 (1,045–1,919).</w:t>
      </w:r>
    </w:p>
    <w:p>
      <w:pPr>
        <w:spacing w:line="360" w:lineRule="auto"/>
      </w:pPr>
      <w:r>
        <w:t>Lo âu: hút thuốc nguy cơ cao AOR = 4,777 (1,407–7,304); bệnh mạn tính AOR = 2,099 (1,045–4,218); tiền sử gia đình rối loạn tâm thần AOR = 1,777 (1,028–3,073).</w:t>
      </w:r>
    </w:p>
    <w:p>
      <w:pPr>
        <w:spacing w:line="360" w:lineRule="auto"/>
      </w:pPr>
      <w:r>
        <w:t>Stress: uống rượu nguy cơ cao AOR = 1,828 (1,012–3,303); cư trú nông thôn AOR = 1,395 (1,010–1,925); hỗ trợ xã hội thấp AOR = 1,7391 (1,203–2,515).</w:t>
      </w:r>
    </w:p>
    <w:p>
      <w:r>
        <w:rPr>
          <w:b/>
          <w:sz w:val="24"/>
        </w:rPr>
        <w:t>Bàn luận / Hàm ý</w:t>
      </w:r>
    </w:p>
    <w:p>
      <w:pPr>
        <w:spacing w:line="360" w:lineRule="auto"/>
      </w:pPr>
      <w:r>
        <w:t>Tỷ lệ DAS ở học sinh Tây Bắc Ethiopia tương đối cao. Đặc biệt, tỷ lệ lo âu 66,7% gần như tương đương với Malaysia 67,1% (Wong et al.) và Ả Rập Saudi (Alharbi, Al-Gelban). Tác giả nhấn mạnh đây là nghiên cứu DAS đầu tiên ở châu Phi cho học sinh trung học. Liên quan sử dụng chất (khat, thuốc lá, rượu) là phát hiện rõ ràng — phù hợp với bối cảnh văn hóa khu vực Sừng châu Phi nơi khat phổ biến. Khuyến nghị: mở rộng dịch vụ sức khỏe tâm thần đến tất cả trường trung học và củng cố dịch vụ tham vấn hiện hữu.</w:t>
      </w:r>
    </w:p>
    <w:p>
      <w:r>
        <w:rPr>
          <w:b/>
          <w:sz w:val="24"/>
        </w:rPr>
        <w:t>Phản biện / Hạn chế</w:t>
      </w:r>
    </w:p>
    <w:p>
      <w:pPr>
        <w:spacing w:line="360" w:lineRule="auto"/>
      </w:pPr>
      <w:r>
        <w:t>(1) Tác giả KHÔNG có mục Hạn chế ở phần đầu kết quả — cần kiểm tra phần Conclusion/Limitation cuối bài (trang 10–11) để xác nhận. (2) Tỷ lệ lo âu 66,7% với CI 95% 66,4–66,9 là CI rất hẹp — không phù hợp với cỡ mẫu 810; có thể là lỗi tính toán hoặc lỗi in (CI cho tỷ lệ với N = 810, p = 0,667 phải khoảng 63,4–69,9). NCS cần lưu ý khi trích dẫn. (3) Thiết kế cắt ngang không kết luận nhân quả. (4) Mẫu chỉ 6 trường của vùng Amhara — không đại diện cho toàn Ethiopia hay châu Phi. (5) DASS-21 tự báo cáo — có nguy cơ thổi phồng so với phỏng vấn lâm sàng. (6) ASSIST đo lường sử dụng chất có thể bị underreport do mong muốn xã hội. (7) Phân tích đa biến chỉ kiểm soát một số biến — chưa kiểm soát đầy đủ nhiễu kinh tế–xã hội. (8) Tỷ lệ 70,5% cư trú nông thôn cao — phù hợp đặc thù vùng nhưng ngoại suy cho học sinh đô thị bị giới hạn. (9) Phạm vi tuổi 15–25 — bao gồm cả độ tuổi trên 19 (không còn là 'high school' theo định nghĩa thông thường); cần phân tích phân nhóm tuổi.</w:t>
      </w:r>
    </w:p>
    <w:p>
      <w:r>
        <w:rPr>
          <w:b/>
          <w:sz w:val="24"/>
        </w:rPr>
        <w:t>Áp dụng cho LA NCS Công Thị Hằng</w:t>
      </w:r>
    </w:p>
    <w:p>
      <w:pPr>
        <w:spacing w:line="360" w:lineRule="auto"/>
      </w:pPr>
      <w:r>
        <w:t>(a) Là bằng chứng từ châu Phi — bổ sung khía cạnh đa văn hóa cho phần Tổng quan của LA. (b) Khẳng định DASS-21 có thể dùng cho học sinh trung học khu vực thu nhập thấp với α tốt — NCS có thể cân nhắc dùng DASS-21 song song với GAD-7 để có chiều kích đa rối loạn. (c) Phát hiện vai trò của sử dụng chất (rượu, thuốc lá, khat) liên quan DAS — gợi ý mở rộng biến độc lập trong LA, ví dụ rượu/thuốc lá ở học sinh THPT Việt Nam (đặc biệt nông thôn). (d) Phát hiện 'hỗ trợ xã hội thấp' (Oslo-3) liên quan stress — đề xuất thêm Oslo-3 vào bảng hỏi LA. (e) Phát hiện cư trú nông thôn × stress (AOR 1,395) — tương đồng với Xu et al. (BB01) — củng cố giả thuyết bất bình đẳng nông thôn–thành thị cho mẫu Việt Nam. (f) Tỷ lệ social phobia (SPIN) 37,3% rất cao — gợi ý NCS có thể bổ sung công cụ SPIN khi nghiên cứu phụ về lo âu xã hội.</w:t>
      </w:r>
    </w:p>
    <w:p>
      <w:r>
        <w:rPr>
          <w:b/>
          <w:sz w:val="24"/>
        </w:rPr>
        <w:t>Trích dẫn nguyên văn</w:t>
      </w:r>
    </w:p>
    <w:p>
      <w:pPr>
        <w:spacing w:line="360" w:lineRule="auto"/>
      </w:pPr>
      <w:r>
        <w:t>Trang 1 (Abstract — Results): 'The prevalence of depression, anxiety, and stress was 41.4, 66.7, and 52.2% respectively. Being female (AOR = 1.304, 95% CI = 1.006–1.849), higher risky khat chewers (AOR = 5.595, 95% CI = 2.357–11.132), having social phobia (AOR = 1.416, 95% CI = 1.045–1.919) were associated with depression.'</w:t>
      </w:r>
    </w:p>
    <w:p>
      <w:pPr>
        <w:spacing w:line="360" w:lineRule="auto"/>
      </w:pPr>
      <w:r>
        <w:t>Trang 4 (Results — Prevalence): 'The overall prevalence of depression, anxiety, and stress in this study was found to be 41.4% (95%, CI: 38.0, 44.8%), 66.7% (95%, CI: 66.4, 66.9%), and 52.2% (95%, CI: 49.1, 56.0%), respectively.'</w:t>
      </w:r>
    </w:p>
    <w:p>
      <w:r>
        <w:rPr>
          <w:b/>
          <w:sz w:val="24"/>
        </w:rPr>
        <w:t>Tham khảo</w:t>
      </w:r>
    </w:p>
    <w:p>
      <w:pPr>
        <w:spacing w:line="360" w:lineRule="auto"/>
      </w:pPr>
      <w:r>
        <w:t>Nakie, G., Segon, T., Melkam, M., Desalegn, G. T., &amp; Zeleke, T. A. (2022). Prevalence and associated factors of depression, anxiety, and stress among high school students in, Northwest Ethiopia, 2021. BMC Psychiatry, 22, 739. https://doi.org/10.1186/s12888-022-04393-1</w:t>
      </w:r>
    </w:p>
    <w:p>
      <w:pPr>
        <w:spacing w:line="360" w:lineRule="auto"/>
      </w:pPr>
      <w:r>
        <w:t>Đường dẫn PDF nội bộ: c:/Users/OS/OneDrive/read_books/Lo-au/02_Papers-goc/The-gioi_Khac/QT006_Nakie_et_al_2022_Ethiopia.pdf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Soan 07/06/2026 tu PDF goc da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