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8"/>
        </w:rPr>
        <w:t>TÓM TẮT BÀI VN020</w:t>
      </w:r>
    </w:p>
    <w:p>
      <w:pPr>
        <w:spacing w:line="360" w:lineRule="auto" w:after="120"/>
      </w:pPr>
      <w:r>
        <w:rPr>
          <w:rFonts w:ascii="Times New Roman" w:hAnsi="Times New Roman"/>
          <w:b/>
          <w:sz w:val="26"/>
        </w:rPr>
        <w:t>1. Thông tin công trình</w:t>
      </w:r>
    </w:p>
    <w:p>
      <w:pPr>
        <w:spacing w:line="360" w:lineRule="auto" w:after="120"/>
        <w:ind w:firstLine="425"/>
      </w:pPr>
      <w:r>
        <w:rPr>
          <w:rFonts w:ascii="Times New Roman" w:hAnsi="Times New Roman"/>
          <w:b/>
          <w:sz w:val="24"/>
        </w:rPr>
        <w:t xml:space="preserve">Tên bài: </w:t>
      </w:r>
      <w:r>
        <w:rPr>
          <w:rFonts w:ascii="Times New Roman" w:hAnsi="Times New Roman"/>
          <w:sz w:val="24"/>
        </w:rPr>
        <w:t>Trầm cảm, lo âu, căng thẳng và các yếu tố liên quan ở học sinh trung học phổ thông tại Thành phố Hồ Chí Minh (Stress, Anxiety, Depression and Associated Factors among High School Students in Ho Chi Minh City).</w:t>
      </w:r>
    </w:p>
    <w:p>
      <w:pPr>
        <w:spacing w:line="360" w:lineRule="auto" w:after="120"/>
        <w:ind w:firstLine="425"/>
      </w:pPr>
      <w:r>
        <w:rPr>
          <w:rFonts w:ascii="Times New Roman" w:hAnsi="Times New Roman"/>
          <w:b/>
          <w:sz w:val="24"/>
        </w:rPr>
        <w:t xml:space="preserve">Tác giả: </w:t>
      </w:r>
      <w:r>
        <w:rPr>
          <w:rFonts w:ascii="Times New Roman" w:hAnsi="Times New Roman"/>
          <w:sz w:val="24"/>
        </w:rPr>
        <w:t>Trần Hồ Vĩnh Lộc¹, Huỳnh Ngọc Vân Anh²* (tác giả liên hệ — hnvanhytcc@ump.edu.vn), Tô Gia Kiên³. Đơn vị: ¹Khoa Y tế Công cộng, ²Bộ môn Thống kê và Tin học y học, ³Bộ môn Quản lý y tế — Đại học Y Dược TPHCM.</w:t>
      </w:r>
    </w:p>
    <w:p>
      <w:pPr>
        <w:spacing w:line="360" w:lineRule="auto" w:after="120"/>
        <w:ind w:firstLine="425"/>
      </w:pPr>
      <w:r>
        <w:rPr>
          <w:rFonts w:ascii="Times New Roman" w:hAnsi="Times New Roman"/>
          <w:b/>
          <w:sz w:val="24"/>
        </w:rPr>
        <w:t xml:space="preserve">Nguồn đăng: </w:t>
      </w:r>
      <w:r>
        <w:rPr>
          <w:rFonts w:ascii="Times New Roman" w:hAnsi="Times New Roman"/>
          <w:sz w:val="24"/>
        </w:rPr>
        <w:t>Tạp chí Y học Thành phố Hồ Chí Minh, Tập 27, Số 5 (2024), trang 100–110. ISSN: 1859-1779. DOI: 10.32895/hcjm.m.2024.05.12.</w:t>
      </w:r>
    </w:p>
    <w:p>
      <w:pPr>
        <w:spacing w:line="360" w:lineRule="auto" w:after="120"/>
        <w:ind w:firstLine="425"/>
      </w:pPr>
      <w:r>
        <w:rPr>
          <w:rFonts w:ascii="Times New Roman" w:hAnsi="Times New Roman"/>
          <w:b/>
          <w:sz w:val="24"/>
        </w:rPr>
        <w:t xml:space="preserve">Mốc thời gian: </w:t>
      </w:r>
      <w:r>
        <w:rPr>
          <w:rFonts w:ascii="Times New Roman" w:hAnsi="Times New Roman"/>
          <w:sz w:val="24"/>
        </w:rPr>
        <w:t>Nhận bài 04/10/2024 — chấp nhận 11/11/2024 — đăng 13/11/2024. Thu thập dữ liệu thực địa từ tháng 02/2024 đến tháng 04/2024. Đã được Hội đồng Đạo đức ĐH Y Dược TPHCM thông qua (số 276/HĐĐĐ-ĐHYD, ngày 01/02/2024).</w:t>
      </w:r>
    </w:p>
    <w:p>
      <w:pPr>
        <w:spacing w:line="360" w:lineRule="auto" w:after="120"/>
        <w:ind w:firstLine="425"/>
      </w:pPr>
      <w:r>
        <w:rPr>
          <w:rFonts w:ascii="Times New Roman" w:hAnsi="Times New Roman"/>
          <w:b/>
          <w:sz w:val="24"/>
        </w:rPr>
        <w:t xml:space="preserve">Địa bàn — đối tượng: </w:t>
      </w:r>
      <w:r>
        <w:rPr>
          <w:rFonts w:ascii="Times New Roman" w:hAnsi="Times New Roman"/>
          <w:sz w:val="24"/>
        </w:rPr>
        <w:t>Học sinh khối 10, 11, 12 tại hai trường THPT công lập của TPHCM: Trường THPT Bình Hưng Hòa (quận Bình Tân, 555 HS) và Trường THPT Đa Phước (huyện Bình Chánh, 431 HS). Tổng phát phiếu: 986 HS — 10 HS bị loại do trả lời không đầy đủ — N phân tích cuối cùng = 976 HS (99,0%).</w:t>
      </w:r>
    </w:p>
    <w:p>
      <w:pPr>
        <w:spacing w:line="360" w:lineRule="auto" w:after="120"/>
      </w:pPr>
      <w:r>
        <w:rPr>
          <w:rFonts w:ascii="Times New Roman" w:hAnsi="Times New Roman"/>
          <w:b/>
          <w:sz w:val="26"/>
        </w:rPr>
        <w:t>2. Phương pháp nghiên cứu</w:t>
      </w:r>
    </w:p>
    <w:p>
      <w:pPr>
        <w:spacing w:line="360" w:lineRule="auto" w:after="120"/>
        <w:ind w:firstLine="425"/>
      </w:pPr>
      <w:r>
        <w:rPr>
          <w:rFonts w:ascii="Times New Roman" w:hAnsi="Times New Roman"/>
          <w:b w:val="0"/>
          <w:i w:val="0"/>
          <w:sz w:val="24"/>
        </w:rPr>
        <w:t>Thiết kế cắt ngang mô tả, phân tích các yếu tố liên quan. Chọn mẫu nhiều bậc: ngẫu nhiên đơn 1 quận (Bình Tân) và 1 huyện (Bình Chánh) ở bậc đầu; ngẫu nhiên chọn 1 trường THPT/quận-huyện; ở bậc lớp dùng chọn thuận tiện 4 lớp/khối (khối 10, 11, 12), tất cả HS trong lớp được mời tham gia. Cỡ mẫu tối thiểu ước lượng 812 HS (k=2; từ chối 5%) dựa theo tỷ lệ TC/LÂ/CT 55,8%–67,9%–50,2% của Võ Minh Đức (2023). Nghiên cứu pilot trên 34 HS lớp 10C17 — Cronbach's α: DASS-Y = 0,94; ESSA = 0,74.</w:t>
      </w:r>
    </w:p>
    <w:p>
      <w:pPr>
        <w:spacing w:line="360" w:lineRule="auto" w:after="120"/>
        <w:ind w:firstLine="425"/>
      </w:pPr>
      <w:r>
        <w:rPr>
          <w:rFonts w:ascii="Times New Roman" w:hAnsi="Times New Roman"/>
          <w:b w:val="0"/>
          <w:i w:val="0"/>
          <w:sz w:val="24"/>
        </w:rPr>
        <w:t>Công cụ đo: (i) DASS-Y — Depression Anxiety Stress Scales for Youth — phiên bản chuyên biệt cho thanh thiếu niên (KHÔNG phải DASS-21 người lớn), gồm 21 mục thang Likert 4 mức (0 — Không đúng → 3 — Rất đúng). Ngưỡng cắt vị thành niên (Psychology Foundation of Australia, 2023): stress ≥ 12, lo âu ≥ 6, trầm cảm ≥ 7. (ii) ESSA — Educational Stress Scale for Adolescents (Sun et al., 2011) — 16 mục Likert 5 mức (1–5), tổng 16–80 điểm; phân nhóm: nhẹ &lt; 51, vừa 51–58, nặng ≥ 59. Số liệu nhập bằng EpiData Entry Client 4.6.0.2 và phân tích bằng Stata 16.0. Mô hình hồi quy Poisson đa biến với tùy chọn Robust được dùng để ước lượng PR (Prevalence Ratio) thô và hiệu chỉnh, có hiệu chỉnh đồng thời các biến: khối lớp, giới tính, áp lực học tập, tình trạng hôn nhân cha mẹ, tình trạng sống chung của HS, kinh tế gia đình, số con, thứ tự con, nghề nghiệp cha-mẹ, học vấn cha-mẹ. Ngưỡng có ý nghĩa thống kê p &lt; 0,05.</w:t>
      </w:r>
    </w:p>
    <w:p>
      <w:pPr>
        <w:spacing w:line="360" w:lineRule="auto" w:after="120"/>
      </w:pPr>
      <w:r>
        <w:rPr>
          <w:rFonts w:ascii="Times New Roman" w:hAnsi="Times New Roman"/>
          <w:b/>
          <w:sz w:val="26"/>
        </w:rPr>
        <w:t>3. Kết quả chính</w:t>
      </w:r>
    </w:p>
    <w:p>
      <w:pPr>
        <w:spacing w:line="360" w:lineRule="auto" w:after="120"/>
        <w:ind w:firstLine="425"/>
      </w:pPr>
      <w:r>
        <w:rPr>
          <w:rFonts w:ascii="Times New Roman" w:hAnsi="Times New Roman"/>
          <w:b w:val="0"/>
          <w:i w:val="0"/>
          <w:sz w:val="24"/>
        </w:rPr>
        <w:t>Đặc điểm mẫu: tuổi trung bình 17,0 ± 0,8; nữ chiếm 53,4% (521/976); 82,5% HS sống cùng cả cha lẫn mẹ; 14,1% có cha mẹ đã ly thân/ly hôn; 3,4% có cha hoặc mẹ đã mất; 8,4% nhận thấy kinh tế gia đình khó khăn; mẹ có trình độ THCS chiếm tỷ lệ cao nhất (29,9%).</w:t>
      </w:r>
    </w:p>
    <w:p>
      <w:pPr>
        <w:spacing w:line="360" w:lineRule="auto" w:after="120"/>
        <w:ind w:firstLine="425"/>
      </w:pPr>
      <w:r>
        <w:rPr>
          <w:rFonts w:ascii="Times New Roman" w:hAnsi="Times New Roman"/>
          <w:b w:val="0"/>
          <w:i w:val="0"/>
          <w:sz w:val="24"/>
        </w:rPr>
        <w:t>Tỷ lệ ba vấn đề SKTT (theo DASS-Y, mức nhẹ trở lên): trầm cảm 31,7% (n=309; KTC 95%: 28,7–34,7%); lo âu 25,1% (n=245; KTC 95%: 22,4–27,9%); căng thẳng 23,8% (n=232; KTC 95%: 21,1–26,6%). 42,4% (n=414) có ít nhất một vấn đề; 13,2% (n=129) đồng thời cả ba vấn đề. Phân bố theo mức độ trầm cảm: nhẹ 9,3%, trung bình 12,7%, nặng 5,4%, rất nặng 4,3% — cảnh báo một nhóm đáng kể (~9,7%) ở mức nặng/rất nặng cần can thiệp lâm sàng.</w:t>
      </w:r>
    </w:p>
    <w:p>
      <w:pPr>
        <w:spacing w:line="360" w:lineRule="auto" w:after="120"/>
        <w:ind w:firstLine="425"/>
      </w:pPr>
      <w:r>
        <w:rPr>
          <w:rFonts w:ascii="Times New Roman" w:hAnsi="Times New Roman"/>
          <w:b w:val="0"/>
          <w:i w:val="0"/>
          <w:sz w:val="24"/>
        </w:rPr>
        <w:t>Mô hình hồi quy Poisson đa biến (PR hiệu chỉnh, KTC 95%). Trầm cảm liên quan đến: nữ giới (PR=1,24; 1,03–1,50); áp lực học tập vừa (PR=1,82; 1,60–2,06) và nặng (PR=3,31; 2,57–4,27); cha mẹ ly thân/ly hôn (PR=1,44; 1,16–1,77); kinh tế đủ sống bảo vệ (PR=0,70; 0,54–0,88) và khá giả bảo vệ (PR=0,69; 0,50–0,95). Lo âu liên quan đến: nữ giới (PR=1,30; 1,03–1,63); áp lực học tập vừa (PR=1,68; 1,45–1,94) và nặng (PR=2,82; 2,11–3,77); mẹ học THPT giảm nguy cơ (PR=0,57; 0,36–0,88). Căng thẳng liên quan đến: nữ giới (PR=1,47; 1,15–1,87); áp lực học tập vừa (PR=1,92; 1,64–2,25) và nặng (PR=3,70; 2,71–5,06); có tôn giáo (PR=1,23; 1,01–1,52); cha mẹ ly thân/ly hôn (PR=1,42; 1,09–1,86); mẹ học vấn từ tiểu học → đại học đều có PR tăng (3,18–3,80) so với mẹ chỉ biết đọc, biết viết.</w:t>
      </w:r>
    </w:p>
    <w:p>
      <w:pPr>
        <w:spacing w:line="360" w:lineRule="auto" w:after="120"/>
      </w:pPr>
      <w:r>
        <w:rPr>
          <w:rFonts w:ascii="Times New Roman" w:hAnsi="Times New Roman"/>
          <w:b/>
          <w:sz w:val="26"/>
        </w:rPr>
        <w:t>4. Đối chiếu liên bài &amp; nhận định</w:t>
      </w:r>
    </w:p>
    <w:p>
      <w:pPr>
        <w:spacing w:line="360" w:lineRule="auto" w:after="120"/>
        <w:ind w:firstLine="425"/>
      </w:pPr>
      <w:r>
        <w:rPr>
          <w:rFonts w:ascii="Times New Roman" w:hAnsi="Times New Roman"/>
          <w:b w:val="0"/>
          <w:i w:val="0"/>
          <w:sz w:val="24"/>
        </w:rPr>
        <w:t>Lo âu 25,1% (DASS-Y) thấp hơn rõ rệt so với các NC VN dùng DASS-21 trên cùng đối tượng THPT: Hoa 2024 (40,6% — GAD-7), Bảo Quyên 2025 (86,2% — DASS-21), Thảo Vi 2025 (65,8% — DASS-21), An Giang 2025 (61,2% — DASS-21), Vũ Thị Ly Ngọc 2018 (67,3% — DASS-21). Các tác giả lý giải khoảng cách này bằng đặc điểm tâm trắc của DASS-Y: ngưỡng cắt được điều chỉnh phù hợp đặc điểm phát triển VTN, mục từ đơn giản hơn, ít quy gán tình trạng bệnh lý quá mức như khi áp DASS-21 người lớn cho VTN (Cao C, 2023). Đây là phát hiện phương pháp luận đáng chú ý, gợi ý cộng đồng nghiên cứu SKTT VTN VN cần thận trọng khi so sánh tỷ lệ giữa các nghiên cứu dùng công cụ khác nhau.</w:t>
      </w:r>
    </w:p>
    <w:p>
      <w:pPr>
        <w:spacing w:line="360" w:lineRule="auto" w:after="120"/>
        <w:ind w:firstLine="425"/>
      </w:pPr>
      <w:r>
        <w:rPr>
          <w:rFonts w:ascii="Times New Roman" w:hAnsi="Times New Roman"/>
          <w:b w:val="0"/>
          <w:i w:val="0"/>
          <w:sz w:val="24"/>
        </w:rPr>
        <w:t>Áp lực học tập (ESSA) nổi lên là yếu tố nguy cơ mạnh nhất — PR nặng vs nhẹ: 3,31 (TC) / 2,82 (LÂ) / 3,70 (CT). Phù hợp Wen (2020 — OR áp lực = 11,6) và Phạm Minh Quang (2023). Cấu trúc gia đình (cha mẹ ly thân/ly hôn) làm tăng TC và CT, đồng nhất với Marouane M (2023 — OR = 6,00). Kinh tế gia đình đủ sống → khá giả có vai trò bảo vệ chống TC. Nữ &gt; nam ở cả 3 chỉ số — phù hợp xu hướng toàn cầu (Kuehner 2017) liên quan dao động estrogen-progesterone và khác biệt cấu trúc não bộ (Luders &amp; Toga 2010).</w:t>
      </w:r>
    </w:p>
    <w:p>
      <w:pPr>
        <w:spacing w:line="360" w:lineRule="auto" w:after="120"/>
      </w:pPr>
      <w:r>
        <w:rPr>
          <w:rFonts w:ascii="Times New Roman" w:hAnsi="Times New Roman"/>
          <w:b/>
          <w:sz w:val="26"/>
        </w:rPr>
        <w:t>5. Kết luận của tác giả</w:t>
      </w:r>
    </w:p>
    <w:p>
      <w:pPr>
        <w:spacing w:line="360" w:lineRule="auto" w:after="120"/>
        <w:ind w:firstLine="425"/>
      </w:pPr>
      <w:r>
        <w:rPr>
          <w:rFonts w:ascii="Times New Roman" w:hAnsi="Times New Roman"/>
          <w:b w:val="0"/>
          <w:i w:val="0"/>
          <w:sz w:val="24"/>
        </w:rPr>
        <w:t>Tỷ lệ TC/LÂ/CT ở học sinh THPT TPHCM (theo DASS-Y) lần lượt là 31,7% / 25,1% / 23,8% — cao một cách đáng quan ngại, với 13,2% chịu đồng thời cả ba vấn đề. Các yếu tố liên quan đáng kể gồm giới tính, áp lực học tập, tình trạng hôn nhân của cha mẹ, kinh tế gia đình và trình độ học vấn của mẹ. Nhà trường cần điều chỉnh khối lượng bài tập, giảm áp lực thành tích, tổ chức tư vấn tâm lý và giáo dục SKTT cho HS và gia đình, đặc biệt là chương trình dành cho HS nữ.</w:t>
      </w:r>
    </w:p>
    <w:p>
      <w:pPr>
        <w:spacing w:line="360" w:lineRule="auto" w:after="120"/>
      </w:pPr>
      <w:r>
        <w:rPr>
          <w:rFonts w:ascii="Times New Roman" w:hAnsi="Times New Roman"/>
          <w:b/>
          <w:sz w:val="26"/>
        </w:rPr>
        <w:t>6. Phản biện</w:t>
      </w:r>
    </w:p>
    <w:p>
      <w:pPr>
        <w:spacing w:line="360" w:lineRule="auto" w:after="120"/>
        <w:ind w:firstLine="425"/>
      </w:pPr>
      <w:r>
        <w:rPr>
          <w:rFonts w:ascii="Times New Roman" w:hAnsi="Times New Roman"/>
          <w:b w:val="0"/>
          <w:i w:val="0"/>
          <w:sz w:val="24"/>
        </w:rPr>
        <w:t>Điểm mạnh: (i) Đơn vị thực hiện (ĐH Y Dược TPHCM) có uy tín; thông qua Hội đồng Đạo đức số hiệu cụ thể. (ii) Sử dụng DASS-Y — bản dành riêng cho VTN với ngưỡng cắt phù hợp — là đóng góp phương pháp luận hiếm gặp trong nhóm NC SKTT VTN VN. (iii) Cỡ mẫu n = 976 thuộc loại lớn so với mặt bằng các NC THPT tại TPHCM; tỷ lệ trả lời cao (99,0%). (iv) Cronbach's α của công cụ trong pilot ở mức rất tốt (DASS-Y = 0,94; ESSA = 0,74). (v) Hồi quy Poisson với Robust SE phù hợp với biến kết cục phổ biến (PR thay vì OR — tránh phóng đại liên kết).</w:t>
      </w:r>
    </w:p>
    <w:p>
      <w:pPr>
        <w:spacing w:line="360" w:lineRule="auto" w:after="120"/>
        <w:ind w:firstLine="425"/>
      </w:pPr>
      <w:r>
        <w:rPr>
          <w:rFonts w:ascii="Times New Roman" w:hAnsi="Times New Roman"/>
          <w:b w:val="0"/>
          <w:i w:val="0"/>
          <w:sz w:val="24"/>
        </w:rPr>
        <w:t>Hạn chế: (i) Chỉ 2 trường công lập ở Bình Tân/Bình Chánh — chưa đại diện cho HS THPT TPHCM (thiếu trường tư, trường chuyên, trung tâm thành phố như Q1, Q3, Q5…). (ii) Bậc lớp dùng chọn thuận tiện — có thể gây sai lệch. (iii) Thiết kế cắt ngang — không suy diễn nhân quả. (iv) DASS-Y mới, dữ liệu chuẩn hóa cho VN còn hạn chế — cần thêm NC kiểm định tâm trắc trên mẫu VN. (v) Thiếu các biến quan trọng đã được tài liệu chứng minh: thời lượng/loại hình sử dụng MXH, chất lượng giấc ngủ, hoạt động thể chất, lịch sử tâm thần gia đình, bắt nạt học đường. (vi) Tạp chí Y học TPHCM chưa được PubMed indexed — hạn chế khả năng đối chiếu quốc tế. (vii) Thu thập sau Tết (02–04/2024) — tác giả tự nhận giúp giảm bias áp lực thi cử, nhưng cũng có thể bỏ sót giai đoạn căng nhất.</w:t>
      </w:r>
    </w:p>
    <w:p>
      <w:pPr>
        <w:spacing w:line="360" w:lineRule="auto" w:after="120"/>
      </w:pPr>
      <w:r>
        <w:rPr>
          <w:rFonts w:ascii="Times New Roman" w:hAnsi="Times New Roman"/>
          <w:b/>
          <w:sz w:val="26"/>
        </w:rPr>
        <w:t>7. Hướng nghiên cứu tiếp theo</w:t>
      </w:r>
    </w:p>
    <w:p>
      <w:pPr>
        <w:spacing w:line="360" w:lineRule="auto" w:after="120"/>
        <w:ind w:firstLine="425"/>
      </w:pPr>
      <w:r>
        <w:rPr>
          <w:rFonts w:ascii="Times New Roman" w:hAnsi="Times New Roman"/>
          <w:b w:val="0"/>
          <w:i w:val="0"/>
          <w:sz w:val="24"/>
        </w:rPr>
        <w:t>(i) So sánh trực tiếp DASS-Y vs DASS-21 vs GAD-7/PHQ-A trên cùng mẫu VTN VN — xác định công cụ tối ưu, đề xuất ngưỡng cắt phù hợp VTN VN. (ii) Mở rộng sang nhiều trường (công lập-tư thục-chuyên), nhiều khu vực địa lý (nội thành-ngoại thành-nông thôn). (iii) Bổ sung biến MXH, giấc ngủ, hoạt động thể chất, bắt nạt — kiểm soát đầy đủ confounder. (iv) Thiết kế dọc/can thiệp: thử nghiệm chương trình giảm áp lực học tập, hỗ trợ HS có cha mẹ ly hôn, can thiệp cho HS nữ. (v) Đánh giá kết quả LA chuẩn hóa VN của DASS-Y với mẫu lớn đa trung tâm.</w:t>
      </w:r>
    </w:p>
    <w:p>
      <w:pPr>
        <w:spacing w:line="360" w:lineRule="auto" w:after="120"/>
        <w:ind w:firstLine="425"/>
      </w:pPr>
      <w:r>
        <w:rPr>
          <w:rFonts w:ascii="Times New Roman" w:hAnsi="Times New Roman"/>
          <w:b w:val="0"/>
          <w:i w:val="0"/>
          <w:sz w:val="24"/>
        </w:rPr>
        <w:t>Đánh giá tổng hợp: ⭐⭐⭐ Trung bình–Khá. TC VN có DOI, công cụ DASS-Y mới, n = 976 — nhưng chỉ 2 trường, thiếu biến quan trọng.</w:t>
      </w:r>
    </w:p>
    <w:p>
      <w:pPr>
        <w:spacing w:line="360" w:lineRule="auto" w:after="120"/>
      </w:pPr>
      <w:r>
        <w:rPr>
          <w:rFonts w:ascii="Times New Roman" w:hAnsi="Times New Roman"/>
          <w:b/>
          <w:sz w:val="26"/>
        </w:rPr>
        <w:t>8. Tham khảo</w:t>
      </w:r>
    </w:p>
    <w:p>
      <w:pPr>
        <w:spacing w:line="360" w:lineRule="auto" w:after="120"/>
        <w:ind w:firstLine="425"/>
      </w:pPr>
      <w:r>
        <w:rPr>
          <w:rFonts w:ascii="Times New Roman" w:hAnsi="Times New Roman"/>
          <w:b w:val="0"/>
          <w:i w:val="0"/>
          <w:sz w:val="24"/>
        </w:rPr>
        <w:t>PDF gốc: 02_Papers-goc/Viet-Nam/VN020_TranHoVinhLoc_2024_TPHCM_DASS-Y.pdf (10 trang, bản đăng chính thức Tập 27, Số 5, 2024).</w:t>
      </w:r>
    </w:p>
    <w:p>
      <w:pPr>
        <w:spacing w:line="360" w:lineRule="auto" w:after="120"/>
        <w:ind w:firstLine="425"/>
      </w:pPr>
      <w:r>
        <w:rPr>
          <w:rFonts w:ascii="Times New Roman" w:hAnsi="Times New Roman"/>
          <w:b w:val="0"/>
          <w:i w:val="0"/>
          <w:sz w:val="24"/>
        </w:rPr>
        <w:t>Nguồn truy cập: Trần Hồ Vĩnh Lộc, Huỳnh Ngọc Vân Anh, Tô Gia Kiên. Trầm cảm, lo âu, căng thẳng và các yếu tố liên quan ở học sinh trung học phổ thông tại Thành phố Hồ Chí Minh. Tạp chí Y học TPHCM. 2024;27(5):100–110. DOI: 10.32895/hcjm.m.2024.05.12. URL: https://doi.org/10.32895/hcjm.m.2024.05.12 — https://www.tapchiyhoctphcm.vn.</w:t>
      </w:r>
    </w:p>
    <w:p>
      <w:pPr>
        <w:spacing w:line="360" w:lineRule="auto" w:after="120"/>
        <w:ind w:firstLine="425"/>
      </w:pPr>
      <w:r>
        <w:rPr>
          <w:rFonts w:ascii="Times New Roman" w:hAnsi="Times New Roman"/>
          <w:b w:val="0"/>
          <w:i w:val="0"/>
          <w:sz w:val="24"/>
        </w:rPr>
        <w:t>Tài liệu phương pháp luận trích dẫn trong bài gốc: Sun J, Dunne MP, Hou X, Xu A. Educational Stress Scale for Adolescents. Journal of Psychoeducational Assessment. 2011;29(6):534–46. — Psychology Foundation of Australia. DASS-Y severity cutoffs. 2023. https://dass.psy.unsw.edu.au/DASS-Y%20cutoffs.htm. — Cao C, Liao X, Gamble JH, et al. Evaluating the psychometric properties of the Chinese DASS-Y and DASS-21. Child Adolesc Psychiatry Ment Health. 2023;17(1):106.</w:t>
      </w:r>
    </w:p>
    <w:p>
      <w:pPr>
        <w:spacing w:line="360" w:lineRule="auto" w:after="120"/>
        <w:ind w:firstLine="425"/>
      </w:pPr>
      <w:r>
        <w:rPr>
          <w:rFonts w:ascii="Times New Roman" w:hAnsi="Times New Roman"/>
          <w:b w:val="0"/>
          <w:i w:val="0"/>
          <w:sz w:val="24"/>
        </w:rPr>
        <w:t>Truy vết nội bộ: canonical_index.json — id: VN020, descriptor: TranHoVinhLoc_2024_TPHCM_DASS-Y; thư mục pdf: Viet-Nam; đối chiếu các tóm tắt liên quan trong cùng cụm THPT TPHCM: Hoa 2024, Bảo Quyên 2025, Thảo Vi 2025, Vũ Thị Ly Ngọc 2018, Võ Minh Đức 2023.</w:t>
      </w:r>
    </w:p>
    <w:p>
      <w:pPr>
        <w:spacing w:line="360" w:lineRule="auto" w:after="120"/>
        <w:jc w:val="center"/>
      </w:pPr>
      <w:r>
        <w:rPr>
          <w:rFonts w:ascii="Times New Roman" w:hAnsi="Times New Roman"/>
          <w:i/>
          <w:sz w:val="22"/>
        </w:rPr>
        <w:t>Đã sửa lại từ PDF gốc (07/06/2026)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