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color w:val="1F4E79"/>
          <w:sz w:val="30"/>
        </w:rPr>
        <w:t>ĐỀ XUẤT SO SÁNH HAI HƯỚNG XIN PHÊ DUYỆT HỘI ĐỒNG ĐẠO ĐỨC</w:t>
      </w:r>
    </w:p>
    <w:p>
      <w:pPr>
        <w:spacing w:before="240" w:after="160"/>
        <w:jc w:val="center"/>
      </w:pPr>
      <w:r>
        <w:rPr>
          <w:rFonts w:ascii="Times New Roman" w:hAnsi="Times New Roman"/>
          <w:b/>
          <w:color w:val="1F4E79"/>
          <w:sz w:val="22"/>
        </w:rPr>
        <w:t>Trả lời thầy Nguyễn Minh Đức — Soạn 08/06/2026</w:t>
      </w:r>
    </w:p>
    <w:p>
      <w:pPr>
        <w:jc w:val="center"/>
      </w:pPr>
      <w:r>
        <w:rPr>
          <w:rFonts w:ascii="Times New Roman" w:hAnsi="Times New Roman"/>
          <w:i/>
          <w:color w:val="808080"/>
          <w:sz w:val="20"/>
        </w:rPr>
        <w:t>Tài liệu nội bộ cho nhóm Q1 thảo luận — không phải văn bản ban hành chính thức</w:t>
      </w:r>
    </w:p>
    <w:p>
      <w:pPr>
        <w:spacing w:before="280" w:after="120"/>
      </w:pPr>
      <w:r>
        <w:rPr>
          <w:rFonts w:ascii="Times New Roman" w:hAnsi="Times New Roman"/>
          <w:b/>
          <w:color w:val="C00000"/>
          <w:sz w:val="26"/>
        </w:rPr>
        <w:t>TÓM TẮT NHANH (TL;DR)</w:t>
      </w:r>
    </w:p>
    <w:p>
      <w:pPr>
        <w:spacing w:after="80"/>
        <w:ind w:firstLine="283"/>
        <w:jc w:val="both"/>
      </w:pPr>
      <w:r>
        <w:rPr>
          <w:rFonts w:ascii="Times New Roman" w:hAnsi="Times New Roman"/>
          <w:sz w:val="22"/>
        </w:rPr>
        <w:t>Em vừa phát hiện một con đường ĐƠN GIẢN HƠN RẤT NHIỀU cho NCS Công Thị Hằng — đi theo cơ chế MIỄN XÉT DUYỆT ĐẠO ĐỨC NGHIÊN CỨU (MIỄN XÉT DUYỆT ĐĐNC).</w:t>
      </w:r>
    </w:p>
    <w:p>
      <w:pPr>
        <w:spacing w:after="60"/>
        <w:ind w:left="425"/>
        <w:jc w:val="both"/>
      </w:pPr>
      <w:r>
        <w:rPr>
          <w:rFonts w:ascii="Times New Roman" w:hAnsi="Times New Roman"/>
          <w:sz w:val="22"/>
        </w:rPr>
        <w:t>• Phát hiện đến từ việc thầy NMĐ đã tải file USSHERB.00 — "Phiếu kiểm tra hồ sơ tại đơn vị chuyên môn (trường hợp Miễn xét duyệt ĐĐNC)" — từ Cổng Hội đồng Đạo đức Nghiên cứu HCMUSSH.</w:t>
      </w:r>
    </w:p>
    <w:p>
      <w:pPr>
        <w:spacing w:after="60"/>
        <w:ind w:left="425"/>
        <w:jc w:val="both"/>
      </w:pPr>
      <w:r>
        <w:rPr>
          <w:rFonts w:ascii="Times New Roman" w:hAnsi="Times New Roman"/>
          <w:sz w:val="22"/>
        </w:rPr>
        <w:t>• Đây là cơ chế chuẩn quốc tế (OHRP Hoa Kỳ, ICMJE) áp dụng cho các nghiên cứu mức nguy cơ tối thiểu, phân tích thứ cấp, hoặc nghiên cứu giáo dục trong khuôn khổ hoạt động bình thường của nhà trường.</w:t>
      </w:r>
    </w:p>
    <w:p>
      <w:pPr>
        <w:spacing w:after="60"/>
        <w:ind w:left="425"/>
        <w:jc w:val="both"/>
      </w:pPr>
      <w:r>
        <w:rPr>
          <w:rFonts w:ascii="Times New Roman" w:hAnsi="Times New Roman"/>
          <w:sz w:val="22"/>
        </w:rPr>
        <w:t>• Case của NCS Hằng (phân tích thứ cấp dữ liệu sàng lọc sức khỏe tâm thần học sinh thường niên + đã có thư đồng ý cha mẹ + đồng thuận học sinh + thư cho phép của Ban Giám hiệu hai trường) ĐỦ TIÊU CHÍ để xin Miễn xét duyệt.</w:t>
      </w:r>
    </w:p>
    <w:p>
      <w:pPr>
        <w:spacing w:after="60"/>
        <w:ind w:left="425"/>
        <w:jc w:val="both"/>
      </w:pPr>
      <w:r>
        <w:rPr>
          <w:rFonts w:ascii="Times New Roman" w:hAnsi="Times New Roman"/>
          <w:sz w:val="22"/>
        </w:rPr>
        <w:t>• Nếu được Miễn xét duyệt: thủ tục đơn giản hơn (1-2 mẫu thay vì 6 mẫu), thời gian nhanh hơn (1-2 tuần thay vì 1-2 tháng), KHÔNG còn nan giải về thời điểm "ngày QĐ sau khảo sát".</w:t>
      </w:r>
    </w:p>
    <w:p>
      <w:pPr>
        <w:spacing w:after="80"/>
        <w:ind w:firstLine="283"/>
        <w:jc w:val="both"/>
      </w:pPr>
      <w:r>
        <w:rPr>
          <w:rFonts w:ascii="Times New Roman" w:hAnsi="Times New Roman"/>
          <w:sz w:val="22"/>
        </w:rPr>
        <w:t>Em đề xuất NCS Hằng HỎI Phòng Khoa học Công nghệ Trường ĐHSPHN theo các câu hỏi cụ thể ở Phần IV. Tùy câu trả lời của Phòng, nhóm chọn hướng MIỄN xét duyệt hay XÉT DUYỆT đầy đủ.</w:t>
      </w:r>
    </w:p>
    <w:p>
      <w:pPr>
        <w:spacing w:before="280" w:after="120"/>
      </w:pPr>
      <w:r>
        <w:rPr>
          <w:rFonts w:ascii="Times New Roman" w:hAnsi="Times New Roman"/>
          <w:b/>
          <w:color w:val="C00000"/>
          <w:sz w:val="26"/>
        </w:rPr>
        <w:t>PHẦN I — KHÁI NIỆM "MIỄN XÉT DUYỆT ĐẠO ĐỨC NGHIÊN CỨU" LÀ GÌ?</w:t>
      </w:r>
    </w:p>
    <w:p>
      <w:pPr>
        <w:spacing w:before="160" w:after="60"/>
      </w:pPr>
      <w:r>
        <w:rPr>
          <w:rFonts w:ascii="Times New Roman" w:hAnsi="Times New Roman"/>
          <w:b/>
          <w:color w:val="2E74B5"/>
          <w:sz w:val="24"/>
        </w:rPr>
        <w:t>1.1 — Định nghĩa</w:t>
      </w:r>
    </w:p>
    <w:p>
      <w:pPr>
        <w:spacing w:after="80"/>
        <w:ind w:firstLine="283"/>
        <w:jc w:val="both"/>
      </w:pPr>
      <w:r>
        <w:rPr>
          <w:rFonts w:ascii="Times New Roman" w:hAnsi="Times New Roman"/>
          <w:sz w:val="22"/>
        </w:rPr>
        <w:t>"Miễn xét duyệt đạo đức nghiên cứu" (tiếng Anh: Exempt review) là cơ chế cho phép một nghiên cứu được Hội đồng Đạo đức xác nhận là KHÔNG cần đi qua quy trình xét duyệt đầy đủ. Thay vào đó, đề tài chỉ cần đi qua thủ tục đơn giản hơn ở cấp đơn vị chuyên môn (thường là Khoa hoặc Bộ môn) hoặc Văn phòng Hội đồng Đạo đức xác nhận đề tài thuộc diện này.</w:t>
      </w:r>
    </w:p>
    <w:p>
      <w:pPr>
        <w:spacing w:before="160" w:after="60"/>
      </w:pPr>
      <w:r>
        <w:rPr>
          <w:rFonts w:ascii="Times New Roman" w:hAnsi="Times New Roman"/>
          <w:b/>
          <w:color w:val="2E74B5"/>
          <w:sz w:val="24"/>
        </w:rPr>
        <w:t>1.2 — Tiêu chí chung được xét MIỄN (theo chuẩn quốc tế)</w:t>
      </w:r>
    </w:p>
    <w:p>
      <w:pPr>
        <w:spacing w:after="80"/>
        <w:ind w:firstLine="283"/>
        <w:jc w:val="both"/>
      </w:pPr>
      <w:r>
        <w:rPr>
          <w:rFonts w:ascii="Times New Roman" w:hAnsi="Times New Roman"/>
          <w:sz w:val="22"/>
        </w:rPr>
        <w:t>Theo Văn phòng Bảo vệ Đối tượng Nghiên cứu Hoa Kỳ (OHRP) và Ủy ban Quốc tế Biên tập viên Tạp chí Y khoa (ICMJE), một nghiên cứu có thể được Miễn xét duyệt nếu thuộc một trong các trường hợp sau:</w:t>
      </w:r>
    </w:p>
    <w:p>
      <w:pPr>
        <w:spacing w:after="60"/>
        <w:ind w:left="425"/>
        <w:jc w:val="both"/>
      </w:pPr>
      <w:r>
        <w:rPr>
          <w:rFonts w:ascii="Times New Roman" w:hAnsi="Times New Roman"/>
          <w:sz w:val="22"/>
        </w:rPr>
        <w:t>• Phân tích thứ cấp dữ liệu đã thu sẵn (existing data), nếu dữ liệu đã được ẩn danh hoặc có thể ẩn danh trong phân tích</w:t>
      </w:r>
    </w:p>
    <w:p>
      <w:pPr>
        <w:spacing w:after="60"/>
        <w:ind w:left="425"/>
        <w:jc w:val="both"/>
      </w:pPr>
      <w:r>
        <w:rPr>
          <w:rFonts w:ascii="Times New Roman" w:hAnsi="Times New Roman"/>
          <w:sz w:val="22"/>
        </w:rPr>
        <w:t>• Nghiên cứu giáo dục thông thường trong khuôn khổ hoạt động thường lệ của nhà trường (ví dụ: sàng lọc sức khỏe học sinh, đánh giá kết quả học tập)</w:t>
      </w:r>
    </w:p>
    <w:p>
      <w:pPr>
        <w:spacing w:after="60"/>
        <w:ind w:left="425"/>
        <w:jc w:val="both"/>
      </w:pPr>
      <w:r>
        <w:rPr>
          <w:rFonts w:ascii="Times New Roman" w:hAnsi="Times New Roman"/>
          <w:sz w:val="22"/>
        </w:rPr>
        <w:t>• Khảo sát/quan sát mức nguy cơ tối thiểu, không gây can thiệp sinh học hoặc tâm lý tiêu cực</w:t>
      </w:r>
    </w:p>
    <w:p>
      <w:pPr>
        <w:spacing w:after="60"/>
        <w:ind w:left="425"/>
        <w:jc w:val="both"/>
      </w:pPr>
      <w:r>
        <w:rPr>
          <w:rFonts w:ascii="Times New Roman" w:hAnsi="Times New Roman"/>
          <w:sz w:val="22"/>
        </w:rPr>
        <w:t>• Phỏng vấn hoặc bảng hỏi với người trưởng thành tự nguyện về các chủ đề không nhạy cảm</w:t>
      </w:r>
    </w:p>
    <w:p>
      <w:pPr>
        <w:spacing w:after="60"/>
        <w:ind w:left="425"/>
        <w:jc w:val="both"/>
      </w:pPr>
      <w:r>
        <w:rPr>
          <w:rFonts w:ascii="Times New Roman" w:hAnsi="Times New Roman"/>
          <w:sz w:val="22"/>
        </w:rPr>
        <w:t>• Nghiên cứu trên dữ liệu công khai (public data) hoặc dữ liệu do nhà nước thu thập</w:t>
      </w:r>
    </w:p>
    <w:p>
      <w:pPr>
        <w:spacing w:before="160" w:after="60"/>
      </w:pPr>
      <w:r>
        <w:rPr>
          <w:rFonts w:ascii="Times New Roman" w:hAnsi="Times New Roman"/>
          <w:b/>
          <w:color w:val="2E74B5"/>
          <w:sz w:val="24"/>
        </w:rPr>
        <w:t>1.3 — Cơ chế Miễn xét duyệt ở Việt Nam</w:t>
      </w:r>
    </w:p>
    <w:p>
      <w:pPr>
        <w:spacing w:after="80"/>
        <w:ind w:firstLine="283"/>
        <w:jc w:val="both"/>
      </w:pPr>
      <w:r>
        <w:rPr>
          <w:rFonts w:ascii="Times New Roman" w:hAnsi="Times New Roman"/>
          <w:sz w:val="22"/>
        </w:rPr>
        <w:t>Tại Việt Nam, các trường có Hội đồng Đạo đức (HCMUSSH, VNU-USSH Hà Nội, HMU…) đều có cơ chế Miễn xét duyệt — biểu mẫu cụ thể là USSHERB.00 ở HCMUSSH. Khi NCS nộp đề tài, Văn phòng Hội đồng Đạo đức sẽ kiểm tra hồ sơ. Nếu đề tài thuộc diện Miễn, NCS không phải qua Hội đồng tư vấn chuyên môn — chỉ cần đơn vị chuyên môn (Khoa) ký phê duyệt là đủ.</w:t>
      </w:r>
    </w:p>
    <w:p>
      <w:pPr>
        <w:spacing w:before="280" w:after="120"/>
      </w:pPr>
      <w:r>
        <w:rPr>
          <w:rFonts w:ascii="Times New Roman" w:hAnsi="Times New Roman"/>
          <w:b/>
          <w:color w:val="C00000"/>
          <w:sz w:val="26"/>
        </w:rPr>
        <w:t>PHẦN II — SO SÁNH HAI HƯỚNG (MIỄN XÉT DUYỆT vs XÉT DUYỆT ĐẦY ĐỦ)</w:t>
      </w:r>
    </w:p>
    <w:p>
      <w:pPr>
        <w:spacing w:before="160" w:after="60"/>
      </w:pPr>
      <w:r>
        <w:rPr>
          <w:rFonts w:ascii="Times New Roman" w:hAnsi="Times New Roman"/>
          <w:b/>
          <w:color w:val="2E74B5"/>
          <w:sz w:val="24"/>
        </w:rPr>
        <w:t>Bảng so sánh tổng quát</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3324"/>
          </w:tcPr>
          <w:p>
            <w:r/>
            <w:r>
              <w:rPr>
                <w:b/>
                <w:color w:val="FFFFFF"/>
                <w:sz w:val="20"/>
              </w:rPr>
              <w:t>Tiêu chí</w:t>
            </w:r>
          </w:p>
        </w:tc>
        <w:tc>
          <w:tcPr>
            <w:tcW w:type="dxa" w:w="3324"/>
          </w:tcPr>
          <w:p>
            <w:r/>
            <w:r>
              <w:rPr>
                <w:b/>
                <w:color w:val="FFFFFF"/>
                <w:sz w:val="20"/>
              </w:rPr>
              <w:t>Hướng A: MIỄN xét duyệt</w:t>
            </w:r>
          </w:p>
        </w:tc>
        <w:tc>
          <w:tcPr>
            <w:tcW w:type="dxa" w:w="3324"/>
          </w:tcPr>
          <w:p>
            <w:r/>
            <w:r>
              <w:rPr>
                <w:b/>
                <w:color w:val="FFFFFF"/>
                <w:sz w:val="20"/>
              </w:rPr>
              <w:t>Hướng B: XÉT DUYỆT đầy đủ</w:t>
            </w:r>
          </w:p>
        </w:tc>
      </w:tr>
      <w:tr>
        <w:tc>
          <w:tcPr>
            <w:tcW w:type="dxa" w:w="3324"/>
          </w:tcPr>
          <w:p>
            <w:r/>
            <w:r>
              <w:rPr>
                <w:b/>
                <w:sz w:val="20"/>
              </w:rPr>
              <w:t>Số biểu mẫu cần soạn</w:t>
            </w:r>
          </w:p>
        </w:tc>
        <w:tc>
          <w:tcPr>
            <w:tcW w:type="dxa" w:w="3324"/>
          </w:tcPr>
          <w:p>
            <w:r/>
            <w:r>
              <w:rPr>
                <w:sz w:val="20"/>
              </w:rPr>
              <w:t>1-2 mẫu (USSHERB.00 + Bản tóm tắt USSHERB.02)</w:t>
            </w:r>
          </w:p>
        </w:tc>
        <w:tc>
          <w:tcPr>
            <w:tcW w:type="dxa" w:w="3324"/>
          </w:tcPr>
          <w:p>
            <w:r/>
            <w:r>
              <w:rPr>
                <w:sz w:val="20"/>
              </w:rPr>
              <w:t>6 mẫu (theo HMU): Mẫu 1-6</w:t>
            </w:r>
          </w:p>
        </w:tc>
      </w:tr>
      <w:tr>
        <w:tc>
          <w:tcPr>
            <w:tcW w:type="dxa" w:w="3324"/>
          </w:tcPr>
          <w:p>
            <w:r/>
            <w:r>
              <w:rPr>
                <w:b/>
                <w:sz w:val="20"/>
              </w:rPr>
              <w:t>Cấp duyệt</w:t>
            </w:r>
          </w:p>
        </w:tc>
        <w:tc>
          <w:tcPr>
            <w:tcW w:type="dxa" w:w="3324"/>
          </w:tcPr>
          <w:p>
            <w:r/>
            <w:r>
              <w:rPr>
                <w:sz w:val="20"/>
              </w:rPr>
              <w:t>Đơn vị chuyên môn (Khoa Tâm lý - Giáo dục)</w:t>
            </w:r>
          </w:p>
        </w:tc>
        <w:tc>
          <w:tcPr>
            <w:tcW w:type="dxa" w:w="3324"/>
          </w:tcPr>
          <w:p>
            <w:r/>
            <w:r>
              <w:rPr>
                <w:sz w:val="20"/>
              </w:rPr>
              <w:t>Hội đồng tư vấn cấp Trường</w:t>
            </w:r>
          </w:p>
        </w:tc>
      </w:tr>
      <w:tr>
        <w:tc>
          <w:tcPr>
            <w:tcW w:type="dxa" w:w="3324"/>
          </w:tcPr>
          <w:p>
            <w:r/>
            <w:r>
              <w:rPr>
                <w:b/>
                <w:sz w:val="20"/>
              </w:rPr>
              <w:t>Thời gian</w:t>
            </w:r>
          </w:p>
        </w:tc>
        <w:tc>
          <w:tcPr>
            <w:tcW w:type="dxa" w:w="3324"/>
          </w:tcPr>
          <w:p>
            <w:r/>
            <w:r>
              <w:rPr>
                <w:sz w:val="20"/>
              </w:rPr>
              <w:t>1-2 tuần</w:t>
            </w:r>
          </w:p>
        </w:tc>
        <w:tc>
          <w:tcPr>
            <w:tcW w:type="dxa" w:w="3324"/>
          </w:tcPr>
          <w:p>
            <w:r/>
            <w:r>
              <w:rPr>
                <w:sz w:val="20"/>
              </w:rPr>
              <w:t>1-2 tháng (chờ Hội đồng họp)</w:t>
            </w:r>
          </w:p>
        </w:tc>
      </w:tr>
      <w:tr>
        <w:tc>
          <w:tcPr>
            <w:tcW w:type="dxa" w:w="3324"/>
          </w:tcPr>
          <w:p>
            <w:r/>
            <w:r>
              <w:rPr>
                <w:b/>
                <w:sz w:val="20"/>
              </w:rPr>
              <w:t>Cơ sở pháp lý chấp nhận quốc tế</w:t>
            </w:r>
          </w:p>
        </w:tc>
        <w:tc>
          <w:tcPr>
            <w:tcW w:type="dxa" w:w="3324"/>
          </w:tcPr>
          <w:p>
            <w:r/>
            <w:r>
              <w:rPr>
                <w:sz w:val="20"/>
              </w:rPr>
              <w:t>OHRP (Hoa Kỳ), ICMJE — chuẩn quốc tế đã công nhận</w:t>
            </w:r>
          </w:p>
        </w:tc>
        <w:tc>
          <w:tcPr>
            <w:tcW w:type="dxa" w:w="3324"/>
          </w:tcPr>
          <w:p>
            <w:r/>
            <w:r>
              <w:rPr>
                <w:sz w:val="20"/>
              </w:rPr>
              <w:t>Helsinki 1964 + Thông tư 43/2024/TT-BYT</w:t>
            </w:r>
          </w:p>
        </w:tc>
      </w:tr>
      <w:tr>
        <w:tc>
          <w:tcPr>
            <w:tcW w:type="dxa" w:w="3324"/>
          </w:tcPr>
          <w:p>
            <w:r/>
            <w:r>
              <w:rPr>
                <w:b/>
                <w:sz w:val="20"/>
              </w:rPr>
              <w:t>Trường hợp áp dụng</w:t>
            </w:r>
          </w:p>
        </w:tc>
        <w:tc>
          <w:tcPr>
            <w:tcW w:type="dxa" w:w="3324"/>
          </w:tcPr>
          <w:p>
            <w:r/>
            <w:r>
              <w:rPr>
                <w:sz w:val="20"/>
              </w:rPr>
              <w:t>Phân tích thứ cấp + nghiên cứu giáo dục trong trường + nguy cơ tối thiểu</w:t>
            </w:r>
          </w:p>
        </w:tc>
        <w:tc>
          <w:tcPr>
            <w:tcW w:type="dxa" w:w="3324"/>
          </w:tcPr>
          <w:p>
            <w:r/>
            <w:r>
              <w:rPr>
                <w:sz w:val="20"/>
              </w:rPr>
              <w:t>Thử nghiệm lâm sàng + can thiệp + đối tượng dễ tổn thương</w:t>
            </w:r>
          </w:p>
        </w:tc>
      </w:tr>
      <w:tr>
        <w:tc>
          <w:tcPr>
            <w:tcW w:type="dxa" w:w="3324"/>
          </w:tcPr>
          <w:p>
            <w:r/>
            <w:r>
              <w:rPr>
                <w:b/>
                <w:sz w:val="20"/>
              </w:rPr>
              <w:t>Vấn đề "QĐ ngày sau khảo sát"</w:t>
            </w:r>
          </w:p>
        </w:tc>
        <w:tc>
          <w:tcPr>
            <w:tcW w:type="dxa" w:w="3324"/>
          </w:tcPr>
          <w:p>
            <w:r/>
            <w:r>
              <w:rPr>
                <w:sz w:val="20"/>
              </w:rPr>
              <w:t>GIẢM RẤT NHIỀU (vì là phân tích thứ cấp được công nhận)</w:t>
            </w:r>
          </w:p>
        </w:tc>
        <w:tc>
          <w:tcPr>
            <w:tcW w:type="dxa" w:w="3324"/>
          </w:tcPr>
          <w:p>
            <w:r/>
            <w:r>
              <w:rPr>
                <w:sz w:val="20"/>
              </w:rPr>
              <w:t>Vẫn còn nan giải, cần lý giải minh bạch</w:t>
            </w:r>
          </w:p>
        </w:tc>
      </w:tr>
      <w:tr>
        <w:tc>
          <w:tcPr>
            <w:tcW w:type="dxa" w:w="3324"/>
          </w:tcPr>
          <w:p>
            <w:r/>
            <w:r>
              <w:rPr>
                <w:b/>
                <w:sz w:val="20"/>
              </w:rPr>
              <w:t>Ethics Statement trong manuscript</w:t>
            </w:r>
          </w:p>
        </w:tc>
        <w:tc>
          <w:tcPr>
            <w:tcW w:type="dxa" w:w="3324"/>
          </w:tcPr>
          <w:p>
            <w:r/>
            <w:r>
              <w:rPr>
                <w:sz w:val="20"/>
              </w:rPr>
              <w:t>"Deemed exempt from ethical review by [Khoa] on grounds of secondary analysis of routine school wellbeing screening data"</w:t>
            </w:r>
          </w:p>
        </w:tc>
        <w:tc>
          <w:tcPr>
            <w:tcW w:type="dxa" w:w="3324"/>
          </w:tcPr>
          <w:p>
            <w:r/>
            <w:r>
              <w:rPr>
                <w:sz w:val="20"/>
              </w:rPr>
              <w:t>"Approved by HĐ Đạo đức [Trường] No. XXX, dated YYY"</w:t>
            </w:r>
          </w:p>
        </w:tc>
      </w:tr>
      <w:tr>
        <w:tc>
          <w:tcPr>
            <w:tcW w:type="dxa" w:w="3324"/>
          </w:tcPr>
          <w:p>
            <w:r/>
            <w:r>
              <w:rPr>
                <w:b/>
                <w:sz w:val="20"/>
              </w:rPr>
              <w:t>Khả năng được tạp chí Q1/Q2 chấp nhận</w:t>
            </w:r>
          </w:p>
        </w:tc>
        <w:tc>
          <w:tcPr>
            <w:tcW w:type="dxa" w:w="3324"/>
          </w:tcPr>
          <w:p>
            <w:r/>
            <w:r>
              <w:rPr>
                <w:sz w:val="20"/>
              </w:rPr>
              <w:t>CAO — chuẩn quốc tế công nhận</w:t>
            </w:r>
          </w:p>
        </w:tc>
        <w:tc>
          <w:tcPr>
            <w:tcW w:type="dxa" w:w="3324"/>
          </w:tcPr>
          <w:p>
            <w:r/>
            <w:r>
              <w:rPr>
                <w:sz w:val="20"/>
              </w:rPr>
              <w:t>CAO — chuẩn truyền thống</w:t>
            </w:r>
          </w:p>
        </w:tc>
      </w:tr>
      <w:tr>
        <w:tc>
          <w:tcPr>
            <w:tcW w:type="dxa" w:w="3324"/>
          </w:tcPr>
          <w:p>
            <w:r/>
            <w:r>
              <w:rPr>
                <w:b/>
                <w:sz w:val="20"/>
              </w:rPr>
              <w:t>Rủi ro reviewer khiếu nại</w:t>
            </w:r>
          </w:p>
        </w:tc>
        <w:tc>
          <w:tcPr>
            <w:tcW w:type="dxa" w:w="3324"/>
          </w:tcPr>
          <w:p>
            <w:r/>
            <w:r>
              <w:rPr>
                <w:sz w:val="20"/>
              </w:rPr>
              <w:t>Thấp nếu lý giải rõ căn cứ Miễn</w:t>
            </w:r>
          </w:p>
        </w:tc>
        <w:tc>
          <w:tcPr>
            <w:tcW w:type="dxa" w:w="3324"/>
          </w:tcPr>
          <w:p>
            <w:r/>
            <w:r>
              <w:rPr>
                <w:sz w:val="20"/>
              </w:rPr>
              <w:t>Thấp nếu có QĐ đầy đủ + đúng ngày</w:t>
            </w:r>
          </w:p>
        </w:tc>
      </w:tr>
    </w:tbl>
    <w:p>
      <w:pPr>
        <w:spacing w:before="160"/>
      </w:pPr>
    </w:p>
    <w:p>
      <w:pPr>
        <w:spacing w:before="280" w:after="120"/>
      </w:pPr>
      <w:r>
        <w:rPr>
          <w:rFonts w:ascii="Times New Roman" w:hAnsi="Times New Roman"/>
          <w:b/>
          <w:color w:val="C00000"/>
          <w:sz w:val="26"/>
        </w:rPr>
        <w:t>PHẦN III — TIÊU CHÍ XÉT MIỄN — CASE CỦA NCS HẰNG CÓ ĐỦ KHÔNG?</w:t>
      </w:r>
    </w:p>
    <w:p>
      <w:pPr>
        <w:spacing w:after="80"/>
        <w:ind w:firstLine="283"/>
        <w:jc w:val="both"/>
      </w:pPr>
      <w:r>
        <w:rPr>
          <w:rFonts w:ascii="Times New Roman" w:hAnsi="Times New Roman"/>
          <w:sz w:val="22"/>
        </w:rPr>
        <w:t>Em đối chiếu từng tiêu chí Miễn xét duyệt theo chuẩn quốc tế với case cụ thể của NCS Hằng:</w:t>
      </w:r>
    </w:p>
    <w:p>
      <w:pPr>
        <w:spacing w:before="160" w:after="60"/>
      </w:pPr>
      <w:r>
        <w:rPr>
          <w:rFonts w:ascii="Times New Roman" w:hAnsi="Times New Roman"/>
          <w:b/>
          <w:color w:val="2E74B5"/>
          <w:sz w:val="24"/>
        </w:rPr>
        <w:t>3.1 — Bảng đối chiếu</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color w:val="FFFFFF"/>
                <w:sz w:val="20"/>
              </w:rPr>
              <w:t>Tiêu chí</w:t>
            </w:r>
          </w:p>
        </w:tc>
        <w:tc>
          <w:tcPr>
            <w:tcW w:type="dxa" w:w="3324"/>
          </w:tcPr>
          <w:p>
            <w:r/>
            <w:r>
              <w:rPr>
                <w:b/>
                <w:color w:val="FFFFFF"/>
                <w:sz w:val="20"/>
              </w:rPr>
              <w:t>Case NCS Hằng</w:t>
            </w:r>
          </w:p>
        </w:tc>
        <w:tc>
          <w:tcPr>
            <w:tcW w:type="dxa" w:w="3324"/>
          </w:tcPr>
          <w:p>
            <w:r/>
            <w:r>
              <w:rPr>
                <w:b/>
                <w:color w:val="FFFFFF"/>
                <w:sz w:val="20"/>
              </w:rPr>
              <w:t>Đạt?</w:t>
            </w:r>
          </w:p>
        </w:tc>
      </w:tr>
      <w:tr>
        <w:tc>
          <w:tcPr>
            <w:tcW w:type="dxa" w:w="3324"/>
          </w:tcPr>
          <w:p>
            <w:r/>
            <w:r>
              <w:rPr>
                <w:sz w:val="20"/>
              </w:rPr>
              <w:t>Phân tích thứ cấp dữ liệu đã thu</w:t>
            </w:r>
          </w:p>
        </w:tc>
        <w:tc>
          <w:tcPr>
            <w:tcW w:type="dxa" w:w="3324"/>
          </w:tcPr>
          <w:p>
            <w:r/>
            <w:r>
              <w:rPr>
                <w:sz w:val="20"/>
              </w:rPr>
              <w:t>Phân tích dữ liệu từ chương trình sàng lọc thường niên</w:t>
            </w:r>
          </w:p>
        </w:tc>
        <w:tc>
          <w:tcPr>
            <w:tcW w:type="dxa" w:w="3324"/>
          </w:tcPr>
          <w:p>
            <w:r/>
            <w:r>
              <w:rPr>
                <w:b/>
                <w:color w:val="006E2E"/>
                <w:sz w:val="20"/>
              </w:rPr>
              <w:t>ĐẠT</w:t>
            </w:r>
          </w:p>
        </w:tc>
      </w:tr>
      <w:tr>
        <w:tc>
          <w:tcPr>
            <w:tcW w:type="dxa" w:w="3324"/>
          </w:tcPr>
          <w:p>
            <w:r/>
            <w:r>
              <w:rPr>
                <w:sz w:val="20"/>
              </w:rPr>
              <w:t>Nghiên cứu giáo dục trong khuôn khổ hoạt động thường lệ của nhà trường</w:t>
            </w:r>
          </w:p>
        </w:tc>
        <w:tc>
          <w:tcPr>
            <w:tcW w:type="dxa" w:w="3324"/>
          </w:tcPr>
          <w:p>
            <w:r/>
            <w:r>
              <w:rPr>
                <w:sz w:val="20"/>
              </w:rPr>
              <w:t>Sàng lọc sức khỏe tâm thần — hoạt động thường niên của Trường THCS Nhật Tân + Tây Mỗ</w:t>
            </w:r>
          </w:p>
        </w:tc>
        <w:tc>
          <w:tcPr>
            <w:tcW w:type="dxa" w:w="3324"/>
          </w:tcPr>
          <w:p>
            <w:r/>
            <w:r>
              <w:rPr>
                <w:b/>
                <w:color w:val="006E2E"/>
                <w:sz w:val="20"/>
              </w:rPr>
              <w:t>ĐẠT</w:t>
            </w:r>
          </w:p>
        </w:tc>
      </w:tr>
      <w:tr>
        <w:tc>
          <w:tcPr>
            <w:tcW w:type="dxa" w:w="3324"/>
          </w:tcPr>
          <w:p>
            <w:r/>
            <w:r>
              <w:rPr>
                <w:sz w:val="20"/>
              </w:rPr>
              <w:t>Mức nguy cơ tối thiểu</w:t>
            </w:r>
          </w:p>
        </w:tc>
        <w:tc>
          <w:tcPr>
            <w:tcW w:type="dxa" w:w="3324"/>
          </w:tcPr>
          <w:p>
            <w:r/>
            <w:r>
              <w:rPr>
                <w:sz w:val="20"/>
              </w:rPr>
              <w:t>Bảng hỏi tự báo cáo, không can thiệp sinh học/tâm lý</w:t>
            </w:r>
          </w:p>
        </w:tc>
        <w:tc>
          <w:tcPr>
            <w:tcW w:type="dxa" w:w="3324"/>
          </w:tcPr>
          <w:p>
            <w:r/>
            <w:r>
              <w:rPr>
                <w:b/>
                <w:color w:val="006E2E"/>
                <w:sz w:val="20"/>
              </w:rPr>
              <w:t>ĐẠT</w:t>
            </w:r>
          </w:p>
        </w:tc>
      </w:tr>
      <w:tr>
        <w:tc>
          <w:tcPr>
            <w:tcW w:type="dxa" w:w="3324"/>
          </w:tcPr>
          <w:p>
            <w:r/>
            <w:r>
              <w:rPr>
                <w:sz w:val="20"/>
              </w:rPr>
              <w:t>Dữ liệu có thể ẩn danh</w:t>
            </w:r>
          </w:p>
        </w:tc>
        <w:tc>
          <w:tcPr>
            <w:tcW w:type="dxa" w:w="3324"/>
          </w:tcPr>
          <w:p>
            <w:r/>
            <w:r>
              <w:rPr>
                <w:sz w:val="20"/>
              </w:rPr>
              <w:t>Có — chỉ phân tích cấp tổng + báo cáo không nêu tên cá nhân</w:t>
            </w:r>
          </w:p>
        </w:tc>
        <w:tc>
          <w:tcPr>
            <w:tcW w:type="dxa" w:w="3324"/>
          </w:tcPr>
          <w:p>
            <w:r/>
            <w:r>
              <w:rPr>
                <w:b/>
                <w:color w:val="006E2E"/>
                <w:sz w:val="20"/>
              </w:rPr>
              <w:t>ĐẠT</w:t>
            </w:r>
          </w:p>
        </w:tc>
      </w:tr>
      <w:tr>
        <w:tc>
          <w:tcPr>
            <w:tcW w:type="dxa" w:w="3324"/>
          </w:tcPr>
          <w:p>
            <w:r/>
            <w:r>
              <w:rPr>
                <w:sz w:val="20"/>
              </w:rPr>
              <w:t>Sự đồng ý cha mẹ + đồng thuận học sinh đã có</w:t>
            </w:r>
          </w:p>
        </w:tc>
        <w:tc>
          <w:tcPr>
            <w:tcW w:type="dxa" w:w="3324"/>
          </w:tcPr>
          <w:p>
            <w:r/>
            <w:r>
              <w:rPr>
                <w:sz w:val="20"/>
              </w:rPr>
              <w:t>Có — thu trước khi khảo sát</w:t>
            </w:r>
          </w:p>
        </w:tc>
        <w:tc>
          <w:tcPr>
            <w:tcW w:type="dxa" w:w="3324"/>
          </w:tcPr>
          <w:p>
            <w:r/>
            <w:r>
              <w:rPr>
                <w:b/>
                <w:color w:val="006E2E"/>
                <w:sz w:val="20"/>
              </w:rPr>
              <w:t>ĐẠT</w:t>
            </w:r>
          </w:p>
        </w:tc>
      </w:tr>
      <w:tr>
        <w:tc>
          <w:tcPr>
            <w:tcW w:type="dxa" w:w="3324"/>
          </w:tcPr>
          <w:p>
            <w:r/>
            <w:r>
              <w:rPr>
                <w:sz w:val="20"/>
              </w:rPr>
              <w:t>Cho phép của nhà trường (Ban Giám hiệu)</w:t>
            </w:r>
          </w:p>
        </w:tc>
        <w:tc>
          <w:tcPr>
            <w:tcW w:type="dxa" w:w="3324"/>
          </w:tcPr>
          <w:p>
            <w:r/>
            <w:r>
              <w:rPr>
                <w:sz w:val="20"/>
              </w:rPr>
              <w:t>Có — thư đồng ý của Hiệu trưởng hai trường</w:t>
            </w:r>
          </w:p>
        </w:tc>
        <w:tc>
          <w:tcPr>
            <w:tcW w:type="dxa" w:w="3324"/>
          </w:tcPr>
          <w:p>
            <w:r/>
            <w:r>
              <w:rPr>
                <w:b/>
                <w:color w:val="006E2E"/>
                <w:sz w:val="20"/>
              </w:rPr>
              <w:t>ĐẠT</w:t>
            </w:r>
          </w:p>
        </w:tc>
      </w:tr>
    </w:tbl>
    <w:p>
      <w:pPr>
        <w:spacing w:before="160"/>
      </w:pPr>
    </w:p>
    <w:p>
      <w:pPr>
        <w:spacing w:after="80"/>
        <w:ind w:firstLine="283"/>
        <w:jc w:val="both"/>
      </w:pPr>
      <w:r>
        <w:rPr>
          <w:rFonts w:ascii="Times New Roman" w:hAnsi="Times New Roman"/>
          <w:sz w:val="22"/>
        </w:rPr>
        <w:t>Kết luận sơ bộ của em: Case NCS Hằng ĐỦ 6/6 tiêu chí Miễn xét duyệt theo chuẩn quốc tế. Đây là cơ sở vững chắc để xin Phòng KHCN HNUE áp dụng cơ chế này.</w:t>
      </w:r>
    </w:p>
    <w:p>
      <w:pPr>
        <w:spacing w:before="280" w:after="120"/>
      </w:pPr>
      <w:r>
        <w:rPr>
          <w:rFonts w:ascii="Times New Roman" w:hAnsi="Times New Roman"/>
          <w:b/>
          <w:color w:val="C00000"/>
          <w:sz w:val="26"/>
        </w:rPr>
        <w:t>PHẦN IV — CÂU HỎI CỤ THỂ NCS HẰNG NÊN HỎI PHÒNG KHCN HNUE</w:t>
      </w:r>
    </w:p>
    <w:p>
      <w:pPr>
        <w:spacing w:after="80"/>
        <w:ind w:firstLine="283"/>
        <w:jc w:val="both"/>
      </w:pPr>
      <w:r>
        <w:rPr>
          <w:rFonts w:ascii="Times New Roman" w:hAnsi="Times New Roman"/>
          <w:sz w:val="22"/>
        </w:rPr>
        <w:t>Em đề xuất NCS Hằng đến Phòng Khoa học Công nghệ Trường ĐHSPHN và hỏi theo các câu sau (kèm theo tài liệu USSHERB.00 + Quy trình HCMUSSH làm cơ sở tham chiếu):</w:t>
      </w:r>
    </w:p>
    <w:p>
      <w:pPr>
        <w:spacing w:before="120" w:after="40"/>
      </w:pPr>
      <w:r>
        <w:rPr>
          <w:rFonts w:ascii="Times New Roman" w:hAnsi="Times New Roman"/>
          <w:b/>
          <w:color w:val="804000"/>
          <w:sz w:val="22"/>
        </w:rPr>
        <w:t>Câu 1 — Có cơ chế Miễn xét duyệt tại HNUE không?</w:t>
      </w:r>
    </w:p>
    <w:p>
      <w:pPr>
        <w:spacing w:after="80"/>
        <w:ind w:left="283"/>
      </w:pPr>
      <w:r>
        <w:rPr>
          <w:rFonts w:ascii="Times New Roman" w:hAnsi="Times New Roman"/>
          <w:b/>
          <w:color w:val="006E2E"/>
          <w:sz w:val="22"/>
        </w:rPr>
        <w:t xml:space="preserve">Câu hỏi gợi ý NCS hỏi: </w:t>
      </w:r>
      <w:r>
        <w:rPr>
          <w:rFonts w:ascii="Times New Roman" w:hAnsi="Times New Roman"/>
          <w:i/>
          <w:sz w:val="22"/>
        </w:rPr>
        <w:t>"Thưa Phòng, Trường ĐHSPHN có cơ chế Miễn xét duyệt Đạo đức Nghiên cứu cho các đề tài thuộc diện phân tích thứ cấp hoặc nghiên cứu giáo dục trong khuôn khổ hoạt động thường lệ của nhà trường không ạ? Nếu có, biểu mẫu cụ thể là gì?"</w:t>
      </w:r>
    </w:p>
    <w:p>
      <w:pPr>
        <w:spacing w:before="120" w:after="40"/>
      </w:pPr>
      <w:r>
        <w:rPr>
          <w:rFonts w:ascii="Times New Roman" w:hAnsi="Times New Roman"/>
          <w:b/>
          <w:color w:val="804000"/>
          <w:sz w:val="22"/>
        </w:rPr>
        <w:t>Câu 2 — Đề tài LA của em có thuộc diện Miễn xét duyệt không?</w:t>
      </w:r>
    </w:p>
    <w:p>
      <w:pPr>
        <w:spacing w:after="80"/>
        <w:ind w:left="283"/>
      </w:pPr>
      <w:r>
        <w:rPr>
          <w:rFonts w:ascii="Times New Roman" w:hAnsi="Times New Roman"/>
          <w:b/>
          <w:color w:val="006E2E"/>
          <w:sz w:val="22"/>
        </w:rPr>
        <w:t xml:space="preserve">Câu hỏi gợi ý NCS hỏi: </w:t>
      </w:r>
      <w:r>
        <w:rPr>
          <w:rFonts w:ascii="Times New Roman" w:hAnsi="Times New Roman"/>
          <w:i/>
          <w:sz w:val="22"/>
        </w:rPr>
        <w:t>"Đề tài luận án của em phân tích thứ cấp dữ liệu từ chương trình sàng lọc sức khỏe tâm thần học sinh thường niên của hai Trường THCS Nhật Tân và Tây Mỗ; đã có thư đồng ý của Ban Giám hiệu hai trường, sự đồng ý của cha/mẹ, và sự đồng thuận của học sinh. Phòng đánh giá đề tài có thuộc diện Miễn xét duyệt không ạ?"</w:t>
      </w:r>
    </w:p>
    <w:p>
      <w:pPr>
        <w:spacing w:before="120" w:after="40"/>
      </w:pPr>
      <w:r>
        <w:rPr>
          <w:rFonts w:ascii="Times New Roman" w:hAnsi="Times New Roman"/>
          <w:b/>
          <w:color w:val="804000"/>
          <w:sz w:val="22"/>
        </w:rPr>
        <w:t>Câu 3 — Quy trình xin Miễn xét duyệt</w:t>
      </w:r>
    </w:p>
    <w:p>
      <w:pPr>
        <w:spacing w:after="80"/>
        <w:ind w:left="283"/>
      </w:pPr>
      <w:r>
        <w:rPr>
          <w:rFonts w:ascii="Times New Roman" w:hAnsi="Times New Roman"/>
          <w:b/>
          <w:color w:val="006E2E"/>
          <w:sz w:val="22"/>
        </w:rPr>
        <w:t xml:space="preserve">Câu hỏi gợi ý NCS hỏi: </w:t>
      </w:r>
      <w:r>
        <w:rPr>
          <w:rFonts w:ascii="Times New Roman" w:hAnsi="Times New Roman"/>
          <w:i/>
          <w:sz w:val="22"/>
        </w:rPr>
        <w:t>"Nếu đề tài thuộc diện Miễn xét duyệt, em cần làm những bước nào? Cần nộp những giấy tờ gì cho ai và trong bao lâu sẽ có kết quả?"</w:t>
      </w:r>
    </w:p>
    <w:p>
      <w:pPr>
        <w:spacing w:before="120" w:after="40"/>
      </w:pPr>
      <w:r>
        <w:rPr>
          <w:rFonts w:ascii="Times New Roman" w:hAnsi="Times New Roman"/>
          <w:b/>
          <w:color w:val="804000"/>
          <w:sz w:val="22"/>
        </w:rPr>
        <w:t>Câu 4 — Nếu KHÔNG thuộc diện Miễn, quy trình xét duyệt đầy đủ như thế nào?</w:t>
      </w:r>
    </w:p>
    <w:p>
      <w:pPr>
        <w:spacing w:after="80"/>
        <w:ind w:left="283"/>
      </w:pPr>
      <w:r>
        <w:rPr>
          <w:rFonts w:ascii="Times New Roman" w:hAnsi="Times New Roman"/>
          <w:b/>
          <w:color w:val="006E2E"/>
          <w:sz w:val="22"/>
        </w:rPr>
        <w:t xml:space="preserve">Câu hỏi gợi ý NCS hỏi: </w:t>
      </w:r>
      <w:r>
        <w:rPr>
          <w:rFonts w:ascii="Times New Roman" w:hAnsi="Times New Roman"/>
          <w:i/>
          <w:sz w:val="22"/>
        </w:rPr>
        <w:t>"Trong trường hợp Phòng đánh giá đề tài KHÔNG thuộc diện Miễn, em cần qua quy trình xét duyệt đầy đủ. Phòng cho em xin biểu mẫu chính thức của Trường ĐHSPHN và hướng dẫn nộp hồ sơ ạ."</w:t>
      </w:r>
    </w:p>
    <w:p>
      <w:pPr>
        <w:spacing w:before="120" w:after="40"/>
      </w:pPr>
      <w:r>
        <w:rPr>
          <w:rFonts w:ascii="Times New Roman" w:hAnsi="Times New Roman"/>
          <w:b/>
          <w:color w:val="804000"/>
          <w:sz w:val="22"/>
        </w:rPr>
        <w:t>Câu 5 — Văn bản công nhận sau khi được Miễn xét duyệt</w:t>
      </w:r>
    </w:p>
    <w:p>
      <w:pPr>
        <w:spacing w:after="80"/>
        <w:ind w:left="283"/>
      </w:pPr>
      <w:r>
        <w:rPr>
          <w:rFonts w:ascii="Times New Roman" w:hAnsi="Times New Roman"/>
          <w:b/>
          <w:color w:val="006E2E"/>
          <w:sz w:val="22"/>
        </w:rPr>
        <w:t xml:space="preserve">Câu hỏi gợi ý NCS hỏi: </w:t>
      </w:r>
      <w:r>
        <w:rPr>
          <w:rFonts w:ascii="Times New Roman" w:hAnsi="Times New Roman"/>
          <w:i/>
          <w:sz w:val="22"/>
        </w:rPr>
        <w:t>"Sau khi Phòng/Khoa duyệt Miễn xét duyệt, em sẽ nhận được loại văn bản nào (Biên bản chấp thuận, Phiếu xác nhận, hay Công văn)? Văn bản này có đủ để em đính kèm khi nộp tạp chí quốc tế không? Em có thể xin bản dịch tiếng Anh chính thức từ Phòng Hợp tác Quốc tế của Trường không?"</w:t>
      </w:r>
    </w:p>
    <w:p>
      <w:pPr>
        <w:spacing w:before="280" w:after="120"/>
      </w:pPr>
      <w:r>
        <w:rPr>
          <w:rFonts w:ascii="Times New Roman" w:hAnsi="Times New Roman"/>
          <w:b/>
          <w:color w:val="C00000"/>
          <w:sz w:val="26"/>
        </w:rPr>
        <w:t>PHẦN V — KHUYẾN NGHỊ HƯỚNG ĐI CHO NHÓM</w:t>
      </w:r>
    </w:p>
    <w:p>
      <w:pPr>
        <w:spacing w:before="160" w:after="60"/>
      </w:pPr>
      <w:r>
        <w:rPr>
          <w:rFonts w:ascii="Times New Roman" w:hAnsi="Times New Roman"/>
          <w:b/>
          <w:color w:val="2E74B5"/>
          <w:sz w:val="24"/>
        </w:rPr>
        <w:t>5.1 — Đề xuất ưu tiên: HƯỚNG A (Miễn xét duyệt)</w:t>
      </w:r>
    </w:p>
    <w:p>
      <w:pPr>
        <w:spacing w:after="80"/>
        <w:ind w:firstLine="283"/>
        <w:jc w:val="both"/>
      </w:pPr>
      <w:r>
        <w:rPr>
          <w:rFonts w:ascii="Times New Roman" w:hAnsi="Times New Roman"/>
          <w:sz w:val="22"/>
        </w:rPr>
        <w:t>Em khuyến nghị nhóm ƯU TIÊN HƯỚNG A vì các lý do sau:</w:t>
      </w:r>
    </w:p>
    <w:p>
      <w:pPr>
        <w:spacing w:after="60"/>
        <w:ind w:left="425"/>
        <w:jc w:val="both"/>
      </w:pPr>
      <w:r>
        <w:rPr>
          <w:rFonts w:ascii="Times New Roman" w:hAnsi="Times New Roman"/>
          <w:sz w:val="22"/>
        </w:rPr>
        <w:t>• Phù hợp với bản chất nghiên cứu của NCS Hằng (phân tích thứ cấp data đã thu trong khuôn khổ hoạt động thường lệ của nhà trường)</w:t>
      </w:r>
    </w:p>
    <w:p>
      <w:pPr>
        <w:spacing w:after="60"/>
        <w:ind w:left="425"/>
        <w:jc w:val="both"/>
      </w:pPr>
      <w:r>
        <w:rPr>
          <w:rFonts w:ascii="Times New Roman" w:hAnsi="Times New Roman"/>
          <w:sz w:val="22"/>
        </w:rPr>
        <w:t>• Thủ tục đơn giản, thời gian ngắn — phù hợp với áp lực thời gian công bố Q1/Q2 trước tháng tốt nghiệp của NCS</w:t>
      </w:r>
    </w:p>
    <w:p>
      <w:pPr>
        <w:spacing w:after="60"/>
        <w:ind w:left="425"/>
        <w:jc w:val="both"/>
      </w:pPr>
      <w:r>
        <w:rPr>
          <w:rFonts w:ascii="Times New Roman" w:hAnsi="Times New Roman"/>
          <w:sz w:val="22"/>
        </w:rPr>
        <w:t>• Giải quyết được nan giải "QĐ ngày sau khảo sát" — vì cơ chế Miễn không yêu cầu phê duyệt TRƯỚC thu dữ liệu</w:t>
      </w:r>
    </w:p>
    <w:p>
      <w:pPr>
        <w:spacing w:after="60"/>
        <w:ind w:left="425"/>
        <w:jc w:val="both"/>
      </w:pPr>
      <w:r>
        <w:rPr>
          <w:rFonts w:ascii="Times New Roman" w:hAnsi="Times New Roman"/>
          <w:sz w:val="22"/>
        </w:rPr>
        <w:t>• Đạt chuẩn quốc tế (OHRP, ICMJE) — tạp chí quốc tế Q1/Q2 sẽ chấp nhận khi Methods khai báo rõ căn cứ Miễn</w:t>
      </w:r>
    </w:p>
    <w:p>
      <w:pPr>
        <w:spacing w:before="160" w:after="60"/>
      </w:pPr>
      <w:r>
        <w:rPr>
          <w:rFonts w:ascii="Times New Roman" w:hAnsi="Times New Roman"/>
          <w:b/>
          <w:color w:val="2E74B5"/>
          <w:sz w:val="24"/>
        </w:rPr>
        <w:t>5.2 — Phương án dự phòng: HƯỚNG B (Xét duyệt đầy đủ)</w:t>
      </w:r>
    </w:p>
    <w:p>
      <w:pPr>
        <w:spacing w:after="80"/>
        <w:ind w:firstLine="283"/>
        <w:jc w:val="both"/>
      </w:pPr>
      <w:r>
        <w:rPr>
          <w:rFonts w:ascii="Times New Roman" w:hAnsi="Times New Roman"/>
          <w:sz w:val="22"/>
        </w:rPr>
        <w:t>Nếu Phòng KHCN HNUE đánh giá đề tài KHÔNG thuộc diện Miễn, hoặc Trường chưa có cơ chế Miễn rõ ràng, nhóm chuyển sang HƯỚNG B:</w:t>
      </w:r>
    </w:p>
    <w:p>
      <w:pPr>
        <w:spacing w:after="60"/>
        <w:ind w:left="425"/>
        <w:jc w:val="both"/>
      </w:pPr>
      <w:r>
        <w:rPr>
          <w:rFonts w:ascii="Times New Roman" w:hAnsi="Times New Roman"/>
          <w:sz w:val="22"/>
        </w:rPr>
        <w:t>• Dùng file "DeXuat_QD_HoiDongDaoDuc_DHSPHN" em đã chuẩn bị làm tham khảo cấu trúc QĐ</w:t>
      </w:r>
    </w:p>
    <w:p>
      <w:pPr>
        <w:spacing w:after="60"/>
        <w:ind w:left="425"/>
        <w:jc w:val="both"/>
      </w:pPr>
      <w:r>
        <w:rPr>
          <w:rFonts w:ascii="Times New Roman" w:hAnsi="Times New Roman"/>
          <w:sz w:val="22"/>
        </w:rPr>
        <w:t>• Áp dụng các phương án em đề xuất trước đó (TraLoiNMD_4CauHoiIRB) — phân chia khảo sát thành đợt + khai báo trung thực</w:t>
      </w:r>
    </w:p>
    <w:p>
      <w:pPr>
        <w:spacing w:before="160" w:after="60"/>
      </w:pPr>
      <w:r>
        <w:rPr>
          <w:rFonts w:ascii="Times New Roman" w:hAnsi="Times New Roman"/>
          <w:b/>
          <w:color w:val="2E74B5"/>
          <w:sz w:val="24"/>
        </w:rPr>
        <w:t>5.3 — Phương án kết hợp</w:t>
      </w:r>
    </w:p>
    <w:p>
      <w:pPr>
        <w:spacing w:after="80"/>
        <w:ind w:firstLine="283"/>
        <w:jc w:val="both"/>
      </w:pPr>
      <w:r>
        <w:rPr>
          <w:rFonts w:ascii="Times New Roman" w:hAnsi="Times New Roman"/>
          <w:sz w:val="22"/>
        </w:rPr>
        <w:t>Một số trường hợp NCS có thể kết hợp: Phòng KHCN cấp Biên bản Miễn xét duyệt cho phần phân tích thứ cấp, đồng thời cấp QĐ phê duyệt cho việc công bố quốc tế. Đây là cách làm linh hoạt mà một số trường (như VNU-USSH Hà Nội) áp dụng.</w:t>
      </w:r>
    </w:p>
    <w:p>
      <w:pPr>
        <w:spacing w:before="280" w:after="120"/>
      </w:pPr>
      <w:r>
        <w:rPr>
          <w:rFonts w:ascii="Times New Roman" w:hAnsi="Times New Roman"/>
          <w:b/>
          <w:color w:val="C00000"/>
          <w:sz w:val="26"/>
        </w:rPr>
        <w:t>TÀI LIỆU THAM KHẢO</w:t>
      </w:r>
    </w:p>
    <w:p>
      <w:pPr>
        <w:spacing w:after="60"/>
        <w:ind w:left="425" w:hanging="425"/>
      </w:pPr>
      <w:r>
        <w:rPr>
          <w:rFonts w:ascii="Times New Roman" w:hAnsi="Times New Roman"/>
          <w:sz w:val="20"/>
        </w:rPr>
        <w:t>• Office for Human Research Protections (OHRP), Bộ Y tế Hoa Kỳ. Exempt Research Categories — 45 CFR 46.104. URL: https://www.hhs.gov/ohrp/regulations-and-policy/regulations/45-cfr-46/</w:t>
      </w:r>
    </w:p>
    <w:p>
      <w:pPr>
        <w:spacing w:after="60"/>
        <w:ind w:left="425" w:hanging="425"/>
      </w:pPr>
      <w:r>
        <w:rPr>
          <w:rFonts w:ascii="Times New Roman" w:hAnsi="Times New Roman"/>
          <w:sz w:val="20"/>
        </w:rPr>
        <w:t>• International Committee of Medical Journal Editors (ICMJE). Recommendations for the Conduct, Reporting, Editing, and Publication of Scholarly Work in Medical Journals — Section II.F (Protection of Research Participants). URL: https://www.icmje.org/recommendations/</w:t>
      </w:r>
    </w:p>
    <w:p>
      <w:pPr>
        <w:spacing w:after="60"/>
        <w:ind w:left="425" w:hanging="425"/>
      </w:pPr>
      <w:r>
        <w:rPr>
          <w:rFonts w:ascii="Times New Roman" w:hAnsi="Times New Roman"/>
          <w:sz w:val="20"/>
        </w:rPr>
        <w:t>• World Medical Association. Tuyên bố Helsinki — Các nguyên tắc đạo đức cho nghiên cứu y khoa có sự tham gia của con người. JAMA. 2013;310(20):2191-2194. DOI: 10.1001/jama.2013.281053.</w:t>
      </w:r>
    </w:p>
    <w:p>
      <w:pPr>
        <w:spacing w:after="60"/>
        <w:ind w:left="425" w:hanging="425"/>
      </w:pPr>
      <w:r>
        <w:rPr>
          <w:rFonts w:ascii="Times New Roman" w:hAnsi="Times New Roman"/>
          <w:sz w:val="20"/>
        </w:rPr>
        <w:t>• Trường Đại học Khoa học Xã hội và Nhân văn — ĐHQG TP.HCM. USSHERB — Quy trình xét duyệt hồ sơ của Hội đồng Đạo đức Nghiên cứu, ban hành 15/02/2022. URL: https://hcmussh.edu.vn/static/document/USSHERB%20-%20Quy%20tr%C3%ACnh%20x%C3%A9t%20duy%E1%BB%87t%20h%E1%BB%93%20s%C6%A1%2015.02.2022.pdf</w:t>
      </w:r>
    </w:p>
    <w:p>
      <w:pPr>
        <w:spacing w:after="60"/>
        <w:ind w:left="425" w:hanging="425"/>
      </w:pPr>
      <w:r>
        <w:rPr>
          <w:rFonts w:ascii="Times New Roman" w:hAnsi="Times New Roman"/>
          <w:sz w:val="20"/>
        </w:rPr>
        <w:t>• Trường Đại học Khoa học Xã hội và Nhân văn — ĐHQG TP.HCM. USSHERB.00 — Phiếu kiểm tra hồ sơ tại đơn vị chuyên môn (trường hợp Miễn xét duyệt ĐĐNC). URL: https://hcmussh.edu.vn/erb</w:t>
      </w:r>
    </w:p>
    <w:p>
      <w:pPr>
        <w:spacing w:after="60"/>
        <w:ind w:left="425" w:hanging="425"/>
      </w:pPr>
      <w:r>
        <w:rPr>
          <w:rFonts w:ascii="Times New Roman" w:hAnsi="Times New Roman"/>
          <w:sz w:val="20"/>
        </w:rPr>
        <w:t>• Trường Đại học Y Hà Nội (HMU). Hướng dẫn lập hồ sơ xin phê duyệt và nghiệm thu kết quả nghiên cứu, thực hiện đạo đức nghiên cứu của đề tài. PDF 24 trang gồm 8 biểu mẫu Mẫu 1-8. URL: https://sdh.hmu.edu.vn/images/HO%20SO%20XIN%20PHE%20DUYET%20DAO%20DUC%20TRONG%20NGHIEN%20CUU%20Y%20HOC.pdf</w:t>
      </w:r>
    </w:p>
    <w:p>
      <w:pPr>
        <w:spacing w:after="60"/>
        <w:ind w:left="425" w:hanging="425"/>
      </w:pPr>
      <w:r>
        <w:rPr>
          <w:rFonts w:ascii="Times New Roman" w:hAnsi="Times New Roman"/>
          <w:sz w:val="20"/>
        </w:rPr>
        <w:t>• Bộ Y tế. Thông tư 43/2024/TT-BYT ngày 12/12/2024 quy định việc thành lập, tổ chức và hoạt động của Hội đồng Đạo đức trong nghiên cứu y sinh học. Hiệu lực 01/02/2025.</w:t>
      </w:r>
    </w:p>
    <w:p>
      <w:pPr>
        <w:spacing w:after="60"/>
        <w:ind w:left="425" w:hanging="425"/>
      </w:pPr>
      <w:r>
        <w:rPr>
          <w:rFonts w:ascii="Times New Roman" w:hAnsi="Times New Roman"/>
          <w:sz w:val="20"/>
        </w:rPr>
        <w:t>• Bộ Khoa học và Công nghệ. Quyết định 2557/QĐ-BKHCN ngày 25/05/2026 về Hướng dẫn liêm chính khoa học và đạo đức nghề nghiệp trong nghiên cứu khoa học và phát triển công nghệ.</w:t>
      </w:r>
    </w:p>
    <w:p>
      <w:pPr>
        <w:spacing w:after="60"/>
        <w:ind w:left="425" w:hanging="425"/>
      </w:pPr>
      <w:r>
        <w:rPr>
          <w:rFonts w:ascii="Times New Roman" w:hAnsi="Times New Roman"/>
          <w:sz w:val="20"/>
        </w:rPr>
        <w:t>• ĐHQG TP.HCM. Quyết định 79/QĐ-ĐHQG ban hành Quy chế về tổ chức và hoạt động của các Hội đồng Đạo đức Nghiên cứu. URL: https://research.vnuhcm.edu.vn/wp-content/uploads/2025/01/Qd-79-ban-hanh-Quy-che-ve-to-chuc-va-hoat-dong-cua-cac-hoi-dong-dao-duc-nghien-cuu.signed.pdf</w:t>
      </w:r>
    </w:p>
    <w:p>
      <w:pPr>
        <w:spacing w:after="60"/>
        <w:ind w:left="425" w:hanging="425"/>
      </w:pPr>
      <w:r>
        <w:rPr>
          <w:rFonts w:ascii="Times New Roman" w:hAnsi="Times New Roman"/>
          <w:sz w:val="20"/>
        </w:rPr>
        <w:t>• Em đã chuẩn bị: bai-bao-Q1/TraLoiNMD_4CauHoiIRB_08062026.docx + bai-bao-Q1/DeXuat_QD_HoiDongDaoDuc_DHSPHN_08062026.docx</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